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E05E" w14:textId="77777777" w:rsidR="00B62AAD" w:rsidRPr="00AA37E6" w:rsidRDefault="00B62AAD" w:rsidP="00B62AAD">
      <w:pPr>
        <w:pStyle w:val="Naslov3"/>
        <w:pBdr>
          <w:top w:val="single" w:sz="4" w:space="0" w:color="auto"/>
        </w:pBdr>
        <w:spacing w:line="276" w:lineRule="auto"/>
        <w:jc w:val="center"/>
        <w:rPr>
          <w:rFonts w:cs="Times New Roman"/>
          <w:sz w:val="32"/>
        </w:rPr>
      </w:pPr>
      <w:r w:rsidRPr="00AA37E6">
        <w:rPr>
          <w:rFonts w:cs="Times New Roman"/>
          <w:sz w:val="32"/>
        </w:rPr>
        <w:t>10990 Državno odvjetništvo Republike Hrvatske,</w:t>
      </w:r>
    </w:p>
    <w:p w14:paraId="2AF93CCF" w14:textId="77777777" w:rsidR="00B62AAD" w:rsidRPr="00AA37E6" w:rsidRDefault="00B62AAD" w:rsidP="00B62AAD">
      <w:pPr>
        <w:pStyle w:val="Naslov3"/>
        <w:pBdr>
          <w:top w:val="single" w:sz="4" w:space="0" w:color="auto"/>
        </w:pBdr>
        <w:spacing w:line="276" w:lineRule="auto"/>
        <w:jc w:val="center"/>
        <w:rPr>
          <w:rFonts w:cs="Times New Roman"/>
          <w:sz w:val="32"/>
        </w:rPr>
      </w:pPr>
      <w:r w:rsidRPr="00AA37E6">
        <w:rPr>
          <w:rFonts w:cs="Times New Roman"/>
          <w:sz w:val="32"/>
        </w:rPr>
        <w:t>Ured za suzbijanje korupcije i organiziranog kriminaliteta</w:t>
      </w:r>
    </w:p>
    <w:p w14:paraId="71D5811F" w14:textId="77777777" w:rsidR="00580A8F" w:rsidRPr="00AA37E6" w:rsidRDefault="00580A8F" w:rsidP="00B62AAD">
      <w:pPr>
        <w:spacing w:after="0"/>
        <w:jc w:val="center"/>
        <w:rPr>
          <w:b/>
          <w:sz w:val="28"/>
          <w:szCs w:val="24"/>
        </w:rPr>
      </w:pPr>
    </w:p>
    <w:p w14:paraId="369E8FB1" w14:textId="4049FF57" w:rsidR="00B62AAD" w:rsidRPr="00AA37E6" w:rsidRDefault="00B62AAD" w:rsidP="00B62AAD">
      <w:pPr>
        <w:spacing w:after="0"/>
        <w:jc w:val="center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RKP: 23649</w:t>
      </w:r>
    </w:p>
    <w:p w14:paraId="7BFB3F81" w14:textId="438EB2D8" w:rsidR="00B62AAD" w:rsidRPr="00AA37E6" w:rsidRDefault="00B62AAD" w:rsidP="00B62AAD">
      <w:pPr>
        <w:spacing w:after="0"/>
        <w:jc w:val="center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OIB:32807825145</w:t>
      </w:r>
    </w:p>
    <w:p w14:paraId="546FDA24" w14:textId="77777777" w:rsidR="00580A8F" w:rsidRPr="00AA37E6" w:rsidRDefault="00580A8F" w:rsidP="00B62AAD">
      <w:pPr>
        <w:spacing w:after="0"/>
        <w:jc w:val="center"/>
        <w:rPr>
          <w:b/>
          <w:sz w:val="28"/>
          <w:szCs w:val="24"/>
        </w:rPr>
      </w:pPr>
    </w:p>
    <w:p w14:paraId="70C03FA1" w14:textId="77777777" w:rsidR="00B62AAD" w:rsidRPr="00AA37E6" w:rsidRDefault="00B62AAD" w:rsidP="00B62AAD">
      <w:pPr>
        <w:spacing w:after="0"/>
        <w:jc w:val="center"/>
        <w:rPr>
          <w:b/>
          <w:sz w:val="28"/>
          <w:szCs w:val="24"/>
        </w:rPr>
      </w:pPr>
    </w:p>
    <w:p w14:paraId="1A5608CA" w14:textId="32C7F0C2" w:rsidR="00B62AAD" w:rsidRPr="00AA37E6" w:rsidRDefault="00425ED2" w:rsidP="005D662E">
      <w:pPr>
        <w:spacing w:after="0" w:line="276" w:lineRule="auto"/>
        <w:jc w:val="center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(7.b) Obrazloženje posebnog</w:t>
      </w:r>
      <w:r w:rsidR="00B62AAD" w:rsidRPr="00AA37E6">
        <w:rPr>
          <w:b/>
          <w:sz w:val="28"/>
          <w:szCs w:val="24"/>
        </w:rPr>
        <w:t xml:space="preserve"> dijela izvještaja o izvršenju financijskog plana Ureda za suzbijanje korupcije i organiziranog kriminaliteta</w:t>
      </w:r>
    </w:p>
    <w:p w14:paraId="719BE640" w14:textId="77777777" w:rsidR="00B62AAD" w:rsidRPr="00AA37E6" w:rsidRDefault="00B62AAD" w:rsidP="005D662E">
      <w:pPr>
        <w:spacing w:after="0" w:line="276" w:lineRule="auto"/>
        <w:jc w:val="center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za razdoblje 01.01.2024.-31.12.2024.</w:t>
      </w:r>
    </w:p>
    <w:p w14:paraId="22CC07EA" w14:textId="3A85A268" w:rsidR="00580A8F" w:rsidRPr="00AA37E6" w:rsidRDefault="00580A8F" w:rsidP="00AA37E6">
      <w:pPr>
        <w:rPr>
          <w:b/>
          <w:sz w:val="24"/>
        </w:rPr>
      </w:pPr>
    </w:p>
    <w:p w14:paraId="31272859" w14:textId="5C2278A8" w:rsidR="00C71A1C" w:rsidRPr="00AA37E6" w:rsidRDefault="00B957C7" w:rsidP="003A79ED">
      <w:pPr>
        <w:spacing w:line="276" w:lineRule="auto"/>
        <w:rPr>
          <w:sz w:val="24"/>
        </w:rPr>
      </w:pPr>
      <w:r w:rsidRPr="00AA37E6">
        <w:rPr>
          <w:sz w:val="24"/>
        </w:rPr>
        <w:t>Ured za suzbijanje korupcije i organiziranog kriminaliteta (</w:t>
      </w:r>
      <w:r w:rsidR="003900F6" w:rsidRPr="00AA37E6">
        <w:rPr>
          <w:sz w:val="24"/>
        </w:rPr>
        <w:t xml:space="preserve">dalje u tekstu: </w:t>
      </w:r>
      <w:r w:rsidRPr="00AA37E6">
        <w:rPr>
          <w:sz w:val="24"/>
        </w:rPr>
        <w:t xml:space="preserve">USKOK) osnovan je 2001. godine kao </w:t>
      </w:r>
      <w:r w:rsidR="0024552E" w:rsidRPr="00AA37E6">
        <w:rPr>
          <w:sz w:val="24"/>
        </w:rPr>
        <w:t xml:space="preserve">posebno državno odvjetništvo </w:t>
      </w:r>
      <w:r w:rsidR="0024552E" w:rsidRPr="00AA37E6">
        <w:rPr>
          <w:sz w:val="24"/>
        </w:rPr>
        <w:t>specijalizirano za progon korupcije i organiziranog kriminaliteta, sa sjedištem u Zagrebu, a nadležan je za područje cijele Republike Hrvatske</w:t>
      </w:r>
      <w:r w:rsidRPr="00AA37E6">
        <w:rPr>
          <w:sz w:val="24"/>
        </w:rPr>
        <w:t xml:space="preserve"> s ciljem što učinkovitijeg i efikasnijeg suprotstavljanja korupciji i organiziranom kriminalu. Od osnivanja do danas USKOK je dobio veće zakonske ovlasti. Kadrovski se kontinuirano osnažuje, djelatnici prolaze različite edukativne programe u zemlji i inozemstvu. U tijeku je informatizacija koja će, uz ostalo, spajanjem s bazama podataka ostalih tijela u državnoj upravi Uredu uvelike olakšati rad. Nadležnost Ureda za suzbijanje korupci</w:t>
      </w:r>
      <w:r w:rsidR="00E35374" w:rsidRPr="00AA37E6">
        <w:rPr>
          <w:sz w:val="24"/>
        </w:rPr>
        <w:t>je i organiziranog kriminalitet</w:t>
      </w:r>
      <w:r w:rsidRPr="00AA37E6">
        <w:rPr>
          <w:sz w:val="24"/>
        </w:rPr>
        <w:t xml:space="preserve"> propisana je Zakonom o Uredu za suzbijanje korupcije i organiziranog kriminaliteta. U svim ostalim slučajevima nadležna su državna odvjetništva. Osnovna zadaća je progon počinitelja kaznenih djela organiziranog kriminaliteta i korupcije, a pored toga ona je i preventivna te edukativna antikorupcijska aktivnost s ciljem suzbijanja kriminalnih pojava, podizanja javne svijesti o opasnostima korupcije, potrebi njenog suzbijanja te provedba drugih aktivnosti predviđenih Nacionalnim programom za borbu protiv korupcije.</w:t>
      </w:r>
    </w:p>
    <w:p w14:paraId="2E520178" w14:textId="77777777" w:rsidR="00580A8F" w:rsidRPr="00AA37E6" w:rsidRDefault="00580A8F" w:rsidP="00650438">
      <w:pPr>
        <w:spacing w:line="276" w:lineRule="auto"/>
        <w:rPr>
          <w:sz w:val="24"/>
        </w:rPr>
      </w:pPr>
    </w:p>
    <w:tbl>
      <w:tblPr>
        <w:tblStyle w:val="StilTablice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703"/>
        <w:gridCol w:w="1562"/>
        <w:gridCol w:w="1845"/>
        <w:gridCol w:w="1702"/>
        <w:gridCol w:w="1803"/>
      </w:tblGrid>
      <w:tr w:rsidR="003900F6" w:rsidRPr="00AA37E6" w14:paraId="64AC7495" w14:textId="1D6623DC" w:rsidTr="005133F8">
        <w:trPr>
          <w:trHeight w:val="839"/>
          <w:jc w:val="center"/>
        </w:trPr>
        <w:tc>
          <w:tcPr>
            <w:tcW w:w="1698" w:type="dxa"/>
            <w:shd w:val="clear" w:color="auto" w:fill="B5C0D8"/>
          </w:tcPr>
          <w:p w14:paraId="0F8337F9" w14:textId="1413C21F" w:rsidR="003900F6" w:rsidRPr="00AA37E6" w:rsidRDefault="003900F6">
            <w:pPr>
              <w:pStyle w:val="CellHeader"/>
              <w:jc w:val="center"/>
              <w:rPr>
                <w:sz w:val="22"/>
              </w:rPr>
            </w:pPr>
          </w:p>
        </w:tc>
        <w:tc>
          <w:tcPr>
            <w:tcW w:w="1703" w:type="dxa"/>
            <w:shd w:val="clear" w:color="auto" w:fill="B5C0D8"/>
          </w:tcPr>
          <w:p w14:paraId="7E955E3C" w14:textId="77777777" w:rsidR="003900F6" w:rsidRPr="00AA37E6" w:rsidRDefault="003900F6" w:rsidP="00804571">
            <w:pPr>
              <w:pStyle w:val="CellHeader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 xml:space="preserve">Izvršenje 2023.  </w:t>
            </w:r>
          </w:p>
          <w:p w14:paraId="3807023B" w14:textId="13761647" w:rsidR="003900F6" w:rsidRPr="00AA37E6" w:rsidRDefault="003900F6" w:rsidP="00804571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562" w:type="dxa"/>
            <w:shd w:val="clear" w:color="auto" w:fill="B5C0D8"/>
          </w:tcPr>
          <w:p w14:paraId="7CBAA822" w14:textId="77777777" w:rsidR="003900F6" w:rsidRPr="00AA37E6" w:rsidRDefault="003900F6" w:rsidP="00817FBD">
            <w:pPr>
              <w:pStyle w:val="CellHeader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 xml:space="preserve">Plan 2024. </w:t>
            </w:r>
          </w:p>
          <w:p w14:paraId="7FED62CD" w14:textId="025E74FC" w:rsidR="003900F6" w:rsidRPr="00AA37E6" w:rsidRDefault="003900F6" w:rsidP="00817FBD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845" w:type="dxa"/>
            <w:shd w:val="clear" w:color="auto" w:fill="B5C0D8"/>
          </w:tcPr>
          <w:p w14:paraId="32ACD93D" w14:textId="3E43681C" w:rsidR="003900F6" w:rsidRPr="00AA37E6" w:rsidRDefault="003900F6" w:rsidP="00D86575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>Izvršenje 202</w:t>
            </w:r>
            <w:r w:rsidRPr="00AA37E6">
              <w:rPr>
                <w:rFonts w:cs="Times New Roman"/>
                <w:sz w:val="22"/>
              </w:rPr>
              <w:t>4</w:t>
            </w:r>
            <w:r w:rsidRPr="00AA37E6">
              <w:rPr>
                <w:rFonts w:cs="Times New Roman"/>
                <w:sz w:val="22"/>
              </w:rPr>
              <w:t>.</w:t>
            </w:r>
          </w:p>
          <w:p w14:paraId="427FD6B4" w14:textId="77777777" w:rsidR="003900F6" w:rsidRPr="00AA37E6" w:rsidRDefault="003900F6" w:rsidP="00D86575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</w:p>
          <w:p w14:paraId="4995B744" w14:textId="607CD9B0" w:rsidR="003900F6" w:rsidRPr="00AA37E6" w:rsidRDefault="003900F6" w:rsidP="00D86575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702" w:type="dxa"/>
            <w:shd w:val="clear" w:color="auto" w:fill="B5C0D8"/>
          </w:tcPr>
          <w:p w14:paraId="5D00CD7C" w14:textId="65B21628" w:rsidR="003900F6" w:rsidRPr="00AA37E6" w:rsidRDefault="003900F6" w:rsidP="00D86575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 xml:space="preserve">Indeks </w:t>
            </w:r>
          </w:p>
          <w:p w14:paraId="7C08EFD8" w14:textId="77777777" w:rsidR="0024552E" w:rsidRPr="00AA37E6" w:rsidRDefault="0024552E" w:rsidP="00D86575">
            <w:pPr>
              <w:pStyle w:val="CellHeader"/>
              <w:spacing w:after="0"/>
              <w:jc w:val="center"/>
              <w:rPr>
                <w:sz w:val="22"/>
              </w:rPr>
            </w:pPr>
          </w:p>
          <w:p w14:paraId="3E1B8B70" w14:textId="2D239EF5" w:rsidR="003900F6" w:rsidRPr="00AA37E6" w:rsidRDefault="003900F6" w:rsidP="00D86575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2024./</w:t>
            </w:r>
          </w:p>
          <w:p w14:paraId="0FA47CEE" w14:textId="57F95A9F" w:rsidR="003900F6" w:rsidRPr="00AA37E6" w:rsidRDefault="003900F6" w:rsidP="00D86575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plan 2024.</w:t>
            </w:r>
          </w:p>
        </w:tc>
        <w:tc>
          <w:tcPr>
            <w:tcW w:w="1803" w:type="dxa"/>
            <w:shd w:val="clear" w:color="auto" w:fill="B5C0D8"/>
          </w:tcPr>
          <w:p w14:paraId="34BCAF30" w14:textId="77777777" w:rsidR="003900F6" w:rsidRPr="00AA37E6" w:rsidRDefault="003900F6" w:rsidP="003900F6">
            <w:pPr>
              <w:pStyle w:val="CellHeader"/>
              <w:spacing w:after="0"/>
              <w:rPr>
                <w:sz w:val="22"/>
              </w:rPr>
            </w:pPr>
          </w:p>
          <w:p w14:paraId="522D619D" w14:textId="118FB027" w:rsidR="003900F6" w:rsidRPr="00AA37E6" w:rsidRDefault="003900F6" w:rsidP="003900F6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 xml:space="preserve">Indeks </w:t>
            </w:r>
          </w:p>
          <w:p w14:paraId="5065749A" w14:textId="77777777" w:rsidR="0024552E" w:rsidRPr="00AA37E6" w:rsidRDefault="0024552E" w:rsidP="003900F6">
            <w:pPr>
              <w:pStyle w:val="CellHeader"/>
              <w:spacing w:after="0"/>
              <w:jc w:val="center"/>
              <w:rPr>
                <w:sz w:val="22"/>
              </w:rPr>
            </w:pPr>
          </w:p>
          <w:p w14:paraId="3206A4B2" w14:textId="77777777" w:rsidR="003900F6" w:rsidRPr="00AA37E6" w:rsidRDefault="003900F6" w:rsidP="003900F6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2024./</w:t>
            </w:r>
          </w:p>
          <w:p w14:paraId="54F7EA52" w14:textId="39FD2536" w:rsidR="003900F6" w:rsidRPr="00AA37E6" w:rsidRDefault="003900F6" w:rsidP="003900F6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2023</w:t>
            </w:r>
            <w:r w:rsidRPr="00AA37E6">
              <w:rPr>
                <w:sz w:val="22"/>
              </w:rPr>
              <w:t>.</w:t>
            </w:r>
          </w:p>
          <w:p w14:paraId="3459660B" w14:textId="2E42D526" w:rsidR="003900F6" w:rsidRPr="00AA37E6" w:rsidRDefault="003900F6" w:rsidP="003900F6">
            <w:pPr>
              <w:pStyle w:val="CellHeader"/>
              <w:spacing w:after="0"/>
              <w:jc w:val="center"/>
              <w:rPr>
                <w:sz w:val="22"/>
              </w:rPr>
            </w:pPr>
          </w:p>
        </w:tc>
      </w:tr>
      <w:tr w:rsidR="003900F6" w:rsidRPr="00AA37E6" w14:paraId="7D580623" w14:textId="477CC14D" w:rsidTr="005133F8">
        <w:trPr>
          <w:trHeight w:val="1245"/>
          <w:jc w:val="center"/>
        </w:trPr>
        <w:tc>
          <w:tcPr>
            <w:tcW w:w="1698" w:type="dxa"/>
          </w:tcPr>
          <w:p w14:paraId="212D5A89" w14:textId="77777777" w:rsidR="0024552E" w:rsidRPr="00AA37E6" w:rsidRDefault="003900F6" w:rsidP="0024552E">
            <w:pPr>
              <w:jc w:val="left"/>
              <w:rPr>
                <w:sz w:val="22"/>
              </w:rPr>
            </w:pPr>
            <w:r w:rsidRPr="00AA37E6">
              <w:rPr>
                <w:sz w:val="22"/>
              </w:rPr>
              <w:t>10990</w:t>
            </w:r>
            <w:r w:rsidR="0024552E" w:rsidRPr="00AA37E6">
              <w:rPr>
                <w:sz w:val="22"/>
              </w:rPr>
              <w:t xml:space="preserve"> </w:t>
            </w:r>
            <w:r w:rsidR="0024552E" w:rsidRPr="00AA37E6">
              <w:rPr>
                <w:sz w:val="22"/>
              </w:rPr>
              <w:t xml:space="preserve">Državno odvjetništvo, </w:t>
            </w:r>
          </w:p>
          <w:p w14:paraId="3C36945D" w14:textId="45E299A6" w:rsidR="0024552E" w:rsidRPr="00AA37E6" w:rsidRDefault="0024552E" w:rsidP="0024552E">
            <w:pPr>
              <w:jc w:val="left"/>
              <w:rPr>
                <w:sz w:val="22"/>
              </w:rPr>
            </w:pPr>
            <w:r w:rsidRPr="00AA37E6">
              <w:rPr>
                <w:sz w:val="22"/>
              </w:rPr>
              <w:t>Ured za suzbijanje korupcije i organiziranog kriminaliteta</w:t>
            </w:r>
          </w:p>
          <w:p w14:paraId="470167FF" w14:textId="6BA09BA1" w:rsidR="003900F6" w:rsidRPr="00AA37E6" w:rsidRDefault="003900F6">
            <w:pPr>
              <w:pStyle w:val="CellColumn"/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14:paraId="1BFF82BF" w14:textId="4C7FCC33" w:rsidR="003900F6" w:rsidRPr="00AA37E6" w:rsidRDefault="003900F6" w:rsidP="000C0F1D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4.432.845,66</w:t>
            </w:r>
          </w:p>
        </w:tc>
        <w:tc>
          <w:tcPr>
            <w:tcW w:w="1562" w:type="dxa"/>
          </w:tcPr>
          <w:p w14:paraId="34479C73" w14:textId="7C511E1C" w:rsidR="003900F6" w:rsidRPr="00AA37E6" w:rsidRDefault="0024552E" w:rsidP="000C0F1D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5.535.679,00</w:t>
            </w:r>
          </w:p>
        </w:tc>
        <w:tc>
          <w:tcPr>
            <w:tcW w:w="1845" w:type="dxa"/>
          </w:tcPr>
          <w:p w14:paraId="381A58A7" w14:textId="6208B8A4" w:rsidR="003900F6" w:rsidRPr="00AA37E6" w:rsidRDefault="003900F6" w:rsidP="000C0F1D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5.236.282,21</w:t>
            </w:r>
          </w:p>
        </w:tc>
        <w:tc>
          <w:tcPr>
            <w:tcW w:w="1702" w:type="dxa"/>
          </w:tcPr>
          <w:p w14:paraId="65C7CE17" w14:textId="1AB6A137" w:rsidR="0024552E" w:rsidRPr="00AA37E6" w:rsidRDefault="0024552E" w:rsidP="0024552E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94,60</w:t>
            </w:r>
          </w:p>
        </w:tc>
        <w:tc>
          <w:tcPr>
            <w:tcW w:w="1803" w:type="dxa"/>
          </w:tcPr>
          <w:p w14:paraId="3D3A36E0" w14:textId="404968DF" w:rsidR="003900F6" w:rsidRPr="00AA37E6" w:rsidRDefault="00580A8F" w:rsidP="000C0F1D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118,10</w:t>
            </w:r>
          </w:p>
        </w:tc>
      </w:tr>
    </w:tbl>
    <w:p w14:paraId="5D394F42" w14:textId="6404BDF9" w:rsidR="0024552E" w:rsidRPr="00AA37E6" w:rsidRDefault="0024552E" w:rsidP="00580A8F">
      <w:pPr>
        <w:tabs>
          <w:tab w:val="left" w:pos="2160"/>
        </w:tabs>
        <w:jc w:val="left"/>
        <w:rPr>
          <w:sz w:val="24"/>
        </w:rPr>
      </w:pPr>
      <w:r w:rsidRPr="00AA37E6">
        <w:rPr>
          <w:sz w:val="24"/>
        </w:rPr>
        <w:tab/>
      </w:r>
    </w:p>
    <w:p w14:paraId="342433AE" w14:textId="4D3BA4FD" w:rsidR="00C71A1C" w:rsidRPr="00AA37E6" w:rsidRDefault="00C71A1C">
      <w:pPr>
        <w:jc w:val="left"/>
        <w:rPr>
          <w:b/>
          <w:sz w:val="24"/>
        </w:rPr>
      </w:pPr>
      <w:r w:rsidRPr="00AA37E6">
        <w:rPr>
          <w:b/>
          <w:sz w:val="24"/>
        </w:rPr>
        <w:t>Cilj 1. Učinkovito suzbijanje korupcije i organiziranog kriminala</w:t>
      </w:r>
      <w:r w:rsidR="00A70A3D">
        <w:rPr>
          <w:b/>
          <w:sz w:val="24"/>
        </w:rPr>
        <w:t>.</w:t>
      </w:r>
    </w:p>
    <w:p w14:paraId="4A6ECE6A" w14:textId="12EDCFF0" w:rsidR="004E1B6A" w:rsidRPr="00AA37E6" w:rsidRDefault="004E1B6A">
      <w:pPr>
        <w:jc w:val="left"/>
        <w:rPr>
          <w:b/>
          <w:sz w:val="24"/>
        </w:rPr>
      </w:pPr>
    </w:p>
    <w:p w14:paraId="63DC577C" w14:textId="52160200" w:rsidR="00580A8F" w:rsidRPr="00AA37E6" w:rsidRDefault="00580A8F">
      <w:pPr>
        <w:jc w:val="left"/>
        <w:rPr>
          <w:b/>
          <w:sz w:val="24"/>
        </w:rPr>
      </w:pPr>
    </w:p>
    <w:p w14:paraId="3B763324" w14:textId="7AD28BCE" w:rsidR="00B924BC" w:rsidRPr="00AA37E6" w:rsidRDefault="007527DF">
      <w:pPr>
        <w:pStyle w:val="Naslov4"/>
        <w:rPr>
          <w:sz w:val="32"/>
        </w:rPr>
      </w:pPr>
      <w:r w:rsidRPr="00AA37E6">
        <w:rPr>
          <w:sz w:val="32"/>
        </w:rPr>
        <w:lastRenderedPageBreak/>
        <w:t>A678000 SUZBIJANJE KORUPCIJE I ORGANIZIRANOG KRIMINALITETA</w:t>
      </w:r>
    </w:p>
    <w:p w14:paraId="60CBB31F" w14:textId="77777777" w:rsidR="00B957C7" w:rsidRPr="00AA37E6" w:rsidRDefault="00B957C7">
      <w:pPr>
        <w:rPr>
          <w:b/>
          <w:sz w:val="24"/>
        </w:rPr>
      </w:pPr>
      <w:r w:rsidRPr="00AA37E6">
        <w:rPr>
          <w:b/>
          <w:sz w:val="24"/>
        </w:rPr>
        <w:t>Zakonske i druge pravne osnove</w:t>
      </w:r>
    </w:p>
    <w:p w14:paraId="59A1A836" w14:textId="1A897A8A" w:rsidR="00B924BC" w:rsidRPr="00AA37E6" w:rsidRDefault="00B957C7">
      <w:pPr>
        <w:rPr>
          <w:sz w:val="24"/>
        </w:rPr>
      </w:pPr>
      <w:r w:rsidRPr="00AA37E6">
        <w:rPr>
          <w:sz w:val="24"/>
        </w:rPr>
        <w:t>Zakon o Uredu za suzbijanje korupcije i organiziranog kriminaliteta</w:t>
      </w:r>
    </w:p>
    <w:p w14:paraId="272EC90A" w14:textId="77777777" w:rsidR="00580A8F" w:rsidRPr="00AA37E6" w:rsidRDefault="00580A8F">
      <w:pPr>
        <w:rPr>
          <w:sz w:val="28"/>
          <w:szCs w:val="24"/>
        </w:rPr>
      </w:pPr>
    </w:p>
    <w:tbl>
      <w:tblPr>
        <w:tblStyle w:val="StilTablice"/>
        <w:tblW w:w="102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842"/>
        <w:gridCol w:w="1700"/>
        <w:gridCol w:w="1800"/>
      </w:tblGrid>
      <w:tr w:rsidR="00580A8F" w:rsidRPr="00AA37E6" w14:paraId="748CC1AC" w14:textId="77777777" w:rsidTr="00CF7779">
        <w:trPr>
          <w:trHeight w:val="695"/>
          <w:jc w:val="center"/>
        </w:trPr>
        <w:tc>
          <w:tcPr>
            <w:tcW w:w="1696" w:type="dxa"/>
            <w:shd w:val="clear" w:color="auto" w:fill="B5C0D8"/>
          </w:tcPr>
          <w:p w14:paraId="58D5C5F8" w14:textId="168D95ED" w:rsidR="00580A8F" w:rsidRPr="00AA37E6" w:rsidRDefault="00580A8F" w:rsidP="00CF7779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Naziv aktivnosti</w:t>
            </w:r>
          </w:p>
        </w:tc>
        <w:tc>
          <w:tcPr>
            <w:tcW w:w="1701" w:type="dxa"/>
            <w:shd w:val="clear" w:color="auto" w:fill="B5C0D8"/>
          </w:tcPr>
          <w:p w14:paraId="1C18928A" w14:textId="77777777" w:rsidR="00580A8F" w:rsidRPr="00AA37E6" w:rsidRDefault="00580A8F" w:rsidP="00CF7779">
            <w:pPr>
              <w:pStyle w:val="CellHeader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 xml:space="preserve">Izvršenje 2023.  </w:t>
            </w:r>
          </w:p>
          <w:p w14:paraId="75BA6AA2" w14:textId="77777777" w:rsidR="00580A8F" w:rsidRPr="00AA37E6" w:rsidRDefault="00580A8F" w:rsidP="00CF7779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560" w:type="dxa"/>
            <w:shd w:val="clear" w:color="auto" w:fill="B5C0D8"/>
          </w:tcPr>
          <w:p w14:paraId="0B99B307" w14:textId="77777777" w:rsidR="00580A8F" w:rsidRPr="00AA37E6" w:rsidRDefault="00580A8F" w:rsidP="00CF7779">
            <w:pPr>
              <w:pStyle w:val="CellHeader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 xml:space="preserve">Plan 2024. </w:t>
            </w:r>
          </w:p>
          <w:p w14:paraId="2275D5DB" w14:textId="77777777" w:rsidR="00580A8F" w:rsidRPr="00AA37E6" w:rsidRDefault="00580A8F" w:rsidP="00CF7779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842" w:type="dxa"/>
            <w:shd w:val="clear" w:color="auto" w:fill="B5C0D8"/>
          </w:tcPr>
          <w:p w14:paraId="1D9A02E2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>Izvršenje 2024.</w:t>
            </w:r>
          </w:p>
          <w:p w14:paraId="386D6727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</w:p>
          <w:p w14:paraId="581B0ED8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700" w:type="dxa"/>
            <w:shd w:val="clear" w:color="auto" w:fill="B5C0D8"/>
          </w:tcPr>
          <w:p w14:paraId="21155FD8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 xml:space="preserve">Indeks </w:t>
            </w:r>
          </w:p>
          <w:p w14:paraId="4C0AA01C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</w:p>
          <w:p w14:paraId="4EAD2651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2024./</w:t>
            </w:r>
          </w:p>
          <w:p w14:paraId="63A3CA97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plan 2024.</w:t>
            </w:r>
          </w:p>
        </w:tc>
        <w:tc>
          <w:tcPr>
            <w:tcW w:w="1800" w:type="dxa"/>
            <w:shd w:val="clear" w:color="auto" w:fill="B5C0D8"/>
          </w:tcPr>
          <w:p w14:paraId="1D9FE28B" w14:textId="77777777" w:rsidR="00580A8F" w:rsidRPr="00AA37E6" w:rsidRDefault="00580A8F" w:rsidP="00CF7779">
            <w:pPr>
              <w:pStyle w:val="CellHeader"/>
              <w:spacing w:after="0"/>
              <w:rPr>
                <w:sz w:val="22"/>
              </w:rPr>
            </w:pPr>
          </w:p>
          <w:p w14:paraId="19C2A040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 xml:space="preserve">Indeks </w:t>
            </w:r>
          </w:p>
          <w:p w14:paraId="5A8A821A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</w:p>
          <w:p w14:paraId="0EAE0AE5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2024./</w:t>
            </w:r>
          </w:p>
          <w:p w14:paraId="45E4B8CD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2023.</w:t>
            </w:r>
          </w:p>
          <w:p w14:paraId="7292607E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</w:p>
        </w:tc>
      </w:tr>
      <w:tr w:rsidR="00580A8F" w:rsidRPr="00AA37E6" w14:paraId="7940DCA3" w14:textId="77777777" w:rsidTr="00CF7779">
        <w:trPr>
          <w:trHeight w:val="397"/>
          <w:jc w:val="center"/>
        </w:trPr>
        <w:tc>
          <w:tcPr>
            <w:tcW w:w="1696" w:type="dxa"/>
          </w:tcPr>
          <w:p w14:paraId="01663929" w14:textId="77777777" w:rsidR="00580A8F" w:rsidRPr="00AA37E6" w:rsidRDefault="00580A8F" w:rsidP="00CF7779">
            <w:pPr>
              <w:jc w:val="left"/>
              <w:rPr>
                <w:sz w:val="22"/>
              </w:rPr>
            </w:pPr>
            <w:r w:rsidRPr="00AA37E6">
              <w:rPr>
                <w:sz w:val="22"/>
              </w:rPr>
              <w:t xml:space="preserve">      </w:t>
            </w:r>
          </w:p>
          <w:p w14:paraId="25FDA48C" w14:textId="64328BBA" w:rsidR="00580A8F" w:rsidRPr="00AA37E6" w:rsidRDefault="00580A8F" w:rsidP="00CF7779">
            <w:pPr>
              <w:jc w:val="left"/>
              <w:rPr>
                <w:sz w:val="22"/>
              </w:rPr>
            </w:pPr>
            <w:r w:rsidRPr="00AA37E6">
              <w:rPr>
                <w:sz w:val="22"/>
              </w:rPr>
              <w:t xml:space="preserve">      A678000</w:t>
            </w:r>
          </w:p>
          <w:p w14:paraId="0E9E5E70" w14:textId="77777777" w:rsidR="00580A8F" w:rsidRPr="00AA37E6" w:rsidRDefault="00580A8F" w:rsidP="00CF7779">
            <w:pPr>
              <w:pStyle w:val="CellColumn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6C999E6A" w14:textId="7CB6DE60" w:rsidR="00580A8F" w:rsidRPr="00AA37E6" w:rsidRDefault="003D1B05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4.419.152,98</w:t>
            </w:r>
          </w:p>
        </w:tc>
        <w:tc>
          <w:tcPr>
            <w:tcW w:w="1560" w:type="dxa"/>
          </w:tcPr>
          <w:p w14:paraId="5C5F3D65" w14:textId="450E8E74" w:rsidR="00580A8F" w:rsidRPr="00AA37E6" w:rsidRDefault="00580A8F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5.503.479,00</w:t>
            </w:r>
          </w:p>
        </w:tc>
        <w:tc>
          <w:tcPr>
            <w:tcW w:w="1842" w:type="dxa"/>
          </w:tcPr>
          <w:p w14:paraId="4CC33351" w14:textId="32452719" w:rsidR="00580A8F" w:rsidRPr="00AA37E6" w:rsidRDefault="00884A61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5.224.480,19</w:t>
            </w:r>
          </w:p>
        </w:tc>
        <w:tc>
          <w:tcPr>
            <w:tcW w:w="1700" w:type="dxa"/>
          </w:tcPr>
          <w:p w14:paraId="77948C47" w14:textId="379979FA" w:rsidR="00580A8F" w:rsidRPr="00AA37E6" w:rsidRDefault="00884A61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94,90</w:t>
            </w:r>
          </w:p>
        </w:tc>
        <w:tc>
          <w:tcPr>
            <w:tcW w:w="1800" w:type="dxa"/>
          </w:tcPr>
          <w:p w14:paraId="18D6888A" w14:textId="2C8B8383" w:rsidR="00580A8F" w:rsidRPr="00AA37E6" w:rsidRDefault="00884A61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118,2</w:t>
            </w:r>
            <w:r w:rsidR="003D1B05" w:rsidRPr="00AA37E6">
              <w:rPr>
                <w:sz w:val="22"/>
              </w:rPr>
              <w:t>0</w:t>
            </w:r>
          </w:p>
        </w:tc>
      </w:tr>
    </w:tbl>
    <w:p w14:paraId="41081C39" w14:textId="7AAEABF8" w:rsidR="0024552E" w:rsidRPr="00AA37E6" w:rsidRDefault="0024552E">
      <w:pPr>
        <w:jc w:val="left"/>
        <w:rPr>
          <w:sz w:val="24"/>
        </w:rPr>
      </w:pPr>
    </w:p>
    <w:p w14:paraId="28112653" w14:textId="1194EE3F" w:rsidR="009E250D" w:rsidRPr="00AA37E6" w:rsidRDefault="009E250D" w:rsidP="003A79ED">
      <w:pPr>
        <w:spacing w:line="276" w:lineRule="auto"/>
        <w:jc w:val="left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IZVOR 11</w:t>
      </w:r>
    </w:p>
    <w:p w14:paraId="3B247C95" w14:textId="6314FFCF" w:rsidR="00A61786" w:rsidRPr="00AA37E6" w:rsidRDefault="00A61786" w:rsidP="003A79ED">
      <w:pPr>
        <w:spacing w:line="276" w:lineRule="auto"/>
        <w:rPr>
          <w:sz w:val="24"/>
          <w:szCs w:val="22"/>
        </w:rPr>
      </w:pPr>
      <w:r w:rsidRPr="00AA37E6">
        <w:rPr>
          <w:b/>
          <w:sz w:val="24"/>
          <w:szCs w:val="22"/>
        </w:rPr>
        <w:t>Plaće i doprinosi</w:t>
      </w:r>
      <w:r w:rsidR="0077709F" w:rsidRPr="00AA37E6">
        <w:rPr>
          <w:b/>
          <w:sz w:val="24"/>
          <w:szCs w:val="22"/>
        </w:rPr>
        <w:t>:</w:t>
      </w:r>
      <w:r w:rsidR="0077709F" w:rsidRPr="00AA37E6">
        <w:rPr>
          <w:sz w:val="24"/>
          <w:szCs w:val="22"/>
        </w:rPr>
        <w:t xml:space="preserve"> </w:t>
      </w:r>
      <w:r w:rsidR="00E2461A" w:rsidRPr="00AA37E6">
        <w:rPr>
          <w:sz w:val="24"/>
          <w:szCs w:val="22"/>
        </w:rPr>
        <w:t xml:space="preserve">odnosi se na plaću za redovan rad, prekovremeni rad te doprinose u iznosu od 3.895.002,66 eur. </w:t>
      </w:r>
    </w:p>
    <w:p w14:paraId="45836E27" w14:textId="5A39FD54" w:rsidR="0077709F" w:rsidRPr="00AA37E6" w:rsidRDefault="00216EA4" w:rsidP="003A79ED">
      <w:pPr>
        <w:spacing w:line="276" w:lineRule="auto"/>
        <w:rPr>
          <w:sz w:val="24"/>
          <w:szCs w:val="22"/>
        </w:rPr>
      </w:pPr>
      <w:r w:rsidRPr="00AA37E6">
        <w:rPr>
          <w:b/>
          <w:sz w:val="24"/>
          <w:szCs w:val="22"/>
        </w:rPr>
        <w:t>Ostali</w:t>
      </w:r>
      <w:r w:rsidR="0077709F" w:rsidRPr="00AA37E6">
        <w:rPr>
          <w:b/>
          <w:sz w:val="24"/>
          <w:szCs w:val="22"/>
        </w:rPr>
        <w:t xml:space="preserve"> rashodi za  zaposlene:</w:t>
      </w:r>
      <w:r w:rsidR="0077709F" w:rsidRPr="00AA37E6">
        <w:rPr>
          <w:sz w:val="24"/>
          <w:szCs w:val="22"/>
        </w:rPr>
        <w:t xml:space="preserve"> </w:t>
      </w:r>
      <w:r w:rsidR="00734FDB" w:rsidRPr="00AA37E6">
        <w:rPr>
          <w:sz w:val="24"/>
          <w:szCs w:val="22"/>
        </w:rPr>
        <w:t xml:space="preserve">odnose se na troškove isplate </w:t>
      </w:r>
      <w:r w:rsidR="00E2461A" w:rsidRPr="00AA37E6">
        <w:rPr>
          <w:sz w:val="24"/>
          <w:szCs w:val="22"/>
        </w:rPr>
        <w:t xml:space="preserve">uskrsnice, </w:t>
      </w:r>
      <w:r w:rsidR="00734FDB" w:rsidRPr="00AA37E6">
        <w:rPr>
          <w:sz w:val="24"/>
          <w:szCs w:val="22"/>
        </w:rPr>
        <w:t>r</w:t>
      </w:r>
      <w:r w:rsidR="009A7765" w:rsidRPr="00AA37E6">
        <w:rPr>
          <w:sz w:val="24"/>
          <w:szCs w:val="22"/>
        </w:rPr>
        <w:t>egres</w:t>
      </w:r>
      <w:r w:rsidR="00734FDB" w:rsidRPr="00AA37E6">
        <w:rPr>
          <w:sz w:val="24"/>
          <w:szCs w:val="22"/>
        </w:rPr>
        <w:t>a, božićnice</w:t>
      </w:r>
      <w:r w:rsidR="00E2461A" w:rsidRPr="00AA37E6">
        <w:rPr>
          <w:sz w:val="24"/>
          <w:szCs w:val="22"/>
        </w:rPr>
        <w:t xml:space="preserve">, </w:t>
      </w:r>
      <w:r w:rsidR="00734FDB" w:rsidRPr="00AA37E6">
        <w:rPr>
          <w:sz w:val="24"/>
          <w:szCs w:val="22"/>
        </w:rPr>
        <w:t>jubilarne</w:t>
      </w:r>
      <w:r w:rsidR="00A61786" w:rsidRPr="00AA37E6">
        <w:rPr>
          <w:sz w:val="24"/>
          <w:szCs w:val="22"/>
        </w:rPr>
        <w:t xml:space="preserve"> </w:t>
      </w:r>
      <w:r w:rsidR="00177C82" w:rsidRPr="00AA37E6">
        <w:rPr>
          <w:sz w:val="24"/>
          <w:szCs w:val="22"/>
        </w:rPr>
        <w:t>pomoći</w:t>
      </w:r>
      <w:r w:rsidR="00E2461A" w:rsidRPr="00AA37E6">
        <w:rPr>
          <w:sz w:val="24"/>
          <w:szCs w:val="22"/>
        </w:rPr>
        <w:t xml:space="preserve"> i ostalih pomoći te dara za djecu</w:t>
      </w:r>
      <w:r w:rsidR="009A7765" w:rsidRPr="00AA37E6">
        <w:rPr>
          <w:sz w:val="24"/>
          <w:szCs w:val="22"/>
        </w:rPr>
        <w:t xml:space="preserve"> </w:t>
      </w:r>
      <w:r w:rsidR="00734FDB" w:rsidRPr="00AA37E6">
        <w:rPr>
          <w:sz w:val="24"/>
          <w:szCs w:val="22"/>
        </w:rPr>
        <w:t xml:space="preserve">u iznosu od 75.253,92 eur. </w:t>
      </w:r>
    </w:p>
    <w:p w14:paraId="5E25A7C8" w14:textId="78B1102A" w:rsidR="0077709F" w:rsidRPr="00AA37E6" w:rsidRDefault="0077709F" w:rsidP="003A79ED">
      <w:pPr>
        <w:spacing w:line="276" w:lineRule="auto"/>
        <w:rPr>
          <w:sz w:val="24"/>
          <w:szCs w:val="22"/>
        </w:rPr>
      </w:pPr>
      <w:r w:rsidRPr="00AA37E6">
        <w:rPr>
          <w:b/>
          <w:sz w:val="24"/>
          <w:szCs w:val="22"/>
        </w:rPr>
        <w:t>Naknade za pri</w:t>
      </w:r>
      <w:r w:rsidR="00804571" w:rsidRPr="00AA37E6">
        <w:rPr>
          <w:b/>
          <w:sz w:val="24"/>
          <w:szCs w:val="22"/>
        </w:rPr>
        <w:t>jevoz:</w:t>
      </w:r>
      <w:r w:rsidR="00804571" w:rsidRPr="00AA37E6">
        <w:rPr>
          <w:sz w:val="24"/>
          <w:szCs w:val="22"/>
        </w:rPr>
        <w:t xml:space="preserve"> </w:t>
      </w:r>
      <w:r w:rsidR="00E2461A" w:rsidRPr="00AA37E6">
        <w:rPr>
          <w:sz w:val="24"/>
          <w:szCs w:val="22"/>
        </w:rPr>
        <w:t xml:space="preserve">odnose se na troškove isplate </w:t>
      </w:r>
      <w:r w:rsidR="00804571" w:rsidRPr="00AA37E6">
        <w:rPr>
          <w:sz w:val="24"/>
          <w:szCs w:val="22"/>
        </w:rPr>
        <w:t>suk</w:t>
      </w:r>
      <w:r w:rsidRPr="00AA37E6">
        <w:rPr>
          <w:sz w:val="24"/>
          <w:szCs w:val="22"/>
        </w:rPr>
        <w:t>l</w:t>
      </w:r>
      <w:r w:rsidR="00804571" w:rsidRPr="00AA37E6">
        <w:rPr>
          <w:sz w:val="24"/>
          <w:szCs w:val="22"/>
        </w:rPr>
        <w:t>a</w:t>
      </w:r>
      <w:r w:rsidRPr="00AA37E6">
        <w:rPr>
          <w:sz w:val="24"/>
          <w:szCs w:val="22"/>
        </w:rPr>
        <w:t>dno broju zaposle</w:t>
      </w:r>
      <w:r w:rsidR="002F736F" w:rsidRPr="00AA37E6">
        <w:rPr>
          <w:sz w:val="24"/>
          <w:szCs w:val="22"/>
        </w:rPr>
        <w:t>nih službenika i namještenika t</w:t>
      </w:r>
      <w:r w:rsidRPr="00AA37E6">
        <w:rPr>
          <w:sz w:val="24"/>
          <w:szCs w:val="22"/>
        </w:rPr>
        <w:t>e za nadoknadu troškova prijevoza za državne duž</w:t>
      </w:r>
      <w:r w:rsidR="00A61786" w:rsidRPr="00AA37E6">
        <w:rPr>
          <w:sz w:val="24"/>
          <w:szCs w:val="22"/>
        </w:rPr>
        <w:t xml:space="preserve">osnike koji ostvaruju to pravo sukladno </w:t>
      </w:r>
      <w:r w:rsidR="00E2461A" w:rsidRPr="00AA37E6">
        <w:rPr>
          <w:sz w:val="24"/>
          <w:szCs w:val="22"/>
        </w:rPr>
        <w:t xml:space="preserve">uputama nadležnog Ministarstva u iznosu od 59.812,48 eur. </w:t>
      </w:r>
    </w:p>
    <w:p w14:paraId="13784363" w14:textId="08454DF0" w:rsidR="001152CA" w:rsidRPr="00AA37E6" w:rsidRDefault="0077709F" w:rsidP="003A79ED">
      <w:pPr>
        <w:spacing w:line="276" w:lineRule="auto"/>
        <w:rPr>
          <w:sz w:val="24"/>
          <w:szCs w:val="22"/>
        </w:rPr>
      </w:pPr>
      <w:r w:rsidRPr="00AA37E6">
        <w:rPr>
          <w:b/>
          <w:sz w:val="24"/>
          <w:szCs w:val="22"/>
        </w:rPr>
        <w:t>Materijalni rashodi:</w:t>
      </w:r>
      <w:r w:rsidRPr="00AA37E6">
        <w:rPr>
          <w:sz w:val="24"/>
          <w:szCs w:val="22"/>
        </w:rPr>
        <w:t xml:space="preserve"> </w:t>
      </w:r>
      <w:r w:rsidR="00E2461A" w:rsidRPr="00AA37E6">
        <w:rPr>
          <w:sz w:val="24"/>
          <w:szCs w:val="22"/>
        </w:rPr>
        <w:t xml:space="preserve">odnose se na troškove vezane za naknade troškova zaposlenima u iznosu od 11.007,59 eur, rashodi za materijal i energiju u iznosu od 143.441,78 eur, rashodi za usluge u iznosu od 944.442,91 eur gdje je bilo razvidno povećanje od 18,79% u odnosu na izvršenje u 2023.godini zbog povećanja troškova intelektualnih usluga (povećanje predmeta, kao i usluga za prevođenje i vještačenje). </w:t>
      </w:r>
    </w:p>
    <w:p w14:paraId="65CB9EF1" w14:textId="5B776271" w:rsidR="00E2461A" w:rsidRPr="00AA37E6" w:rsidRDefault="00E2461A" w:rsidP="003A79ED">
      <w:pPr>
        <w:spacing w:line="276" w:lineRule="auto"/>
        <w:rPr>
          <w:b/>
          <w:sz w:val="24"/>
          <w:szCs w:val="22"/>
        </w:rPr>
      </w:pPr>
      <w:r w:rsidRPr="00AA37E6">
        <w:rPr>
          <w:b/>
          <w:sz w:val="24"/>
          <w:szCs w:val="22"/>
        </w:rPr>
        <w:t xml:space="preserve">Financijski rashodi: </w:t>
      </w:r>
      <w:r w:rsidRPr="00AA37E6">
        <w:rPr>
          <w:sz w:val="24"/>
          <w:szCs w:val="22"/>
        </w:rPr>
        <w:t>odnose se na troškove vezane</w:t>
      </w:r>
      <w:r w:rsidRPr="00AA37E6">
        <w:rPr>
          <w:sz w:val="24"/>
          <w:szCs w:val="22"/>
        </w:rPr>
        <w:t xml:space="preserve"> za otplatu kamata za financijski leasing, </w:t>
      </w:r>
      <w:r w:rsidRPr="00AA37E6">
        <w:rPr>
          <w:sz w:val="24"/>
          <w:szCs w:val="23"/>
        </w:rPr>
        <w:t>bankarske u</w:t>
      </w:r>
      <w:r w:rsidR="00AB07C1">
        <w:rPr>
          <w:sz w:val="24"/>
          <w:szCs w:val="23"/>
        </w:rPr>
        <w:t>sl</w:t>
      </w:r>
      <w:r w:rsidR="00DB6DFB">
        <w:rPr>
          <w:sz w:val="24"/>
          <w:szCs w:val="23"/>
        </w:rPr>
        <w:t>uge i usluge platnog prometa te</w:t>
      </w:r>
      <w:bookmarkStart w:id="0" w:name="_GoBack"/>
      <w:bookmarkEnd w:id="0"/>
      <w:r w:rsidR="00DB6DFB">
        <w:rPr>
          <w:sz w:val="24"/>
          <w:szCs w:val="23"/>
        </w:rPr>
        <w:t xml:space="preserve"> </w:t>
      </w:r>
      <w:r w:rsidR="00AB07C1">
        <w:rPr>
          <w:sz w:val="24"/>
          <w:szCs w:val="23"/>
        </w:rPr>
        <w:t xml:space="preserve">iznose 7.400,00 eur. </w:t>
      </w:r>
    </w:p>
    <w:p w14:paraId="7089B706" w14:textId="75466211" w:rsidR="00C71A1C" w:rsidRPr="00AA37E6" w:rsidRDefault="007D2596" w:rsidP="003A79ED">
      <w:pPr>
        <w:spacing w:line="276" w:lineRule="auto"/>
        <w:rPr>
          <w:sz w:val="24"/>
          <w:szCs w:val="22"/>
        </w:rPr>
      </w:pPr>
      <w:r w:rsidRPr="00AA37E6">
        <w:rPr>
          <w:b/>
          <w:sz w:val="24"/>
          <w:szCs w:val="22"/>
        </w:rPr>
        <w:t xml:space="preserve">Rashodi za nabavu nefinancijske oprema: </w:t>
      </w:r>
      <w:r w:rsidR="00E2461A" w:rsidRPr="00AA37E6">
        <w:rPr>
          <w:sz w:val="24"/>
          <w:szCs w:val="22"/>
        </w:rPr>
        <w:t xml:space="preserve">odnose se na troškove vezane </w:t>
      </w:r>
      <w:r w:rsidR="0077709F" w:rsidRPr="00AA37E6">
        <w:rPr>
          <w:sz w:val="24"/>
          <w:szCs w:val="22"/>
        </w:rPr>
        <w:t>nab</w:t>
      </w:r>
      <w:r w:rsidR="002C0F64" w:rsidRPr="00AA37E6">
        <w:rPr>
          <w:sz w:val="24"/>
          <w:szCs w:val="22"/>
        </w:rPr>
        <w:t>av</w:t>
      </w:r>
      <w:r w:rsidR="002F736F" w:rsidRPr="00AA37E6">
        <w:rPr>
          <w:sz w:val="24"/>
          <w:szCs w:val="22"/>
        </w:rPr>
        <w:t xml:space="preserve">u </w:t>
      </w:r>
      <w:r w:rsidR="002C0F64" w:rsidRPr="00AA37E6">
        <w:rPr>
          <w:sz w:val="24"/>
          <w:szCs w:val="22"/>
        </w:rPr>
        <w:t>proizvedene dugotrajne imovine (</w:t>
      </w:r>
      <w:r w:rsidR="00B968EB" w:rsidRPr="00AA37E6">
        <w:rPr>
          <w:sz w:val="24"/>
          <w:szCs w:val="22"/>
        </w:rPr>
        <w:t xml:space="preserve">uredske opreme i namještaja, </w:t>
      </w:r>
      <w:r w:rsidR="0077709F" w:rsidRPr="00AA37E6">
        <w:rPr>
          <w:sz w:val="24"/>
          <w:szCs w:val="22"/>
        </w:rPr>
        <w:t>opreme za održavanje i zaštitu</w:t>
      </w:r>
      <w:r w:rsidR="002C0F64" w:rsidRPr="00AA37E6">
        <w:rPr>
          <w:sz w:val="24"/>
          <w:szCs w:val="22"/>
        </w:rPr>
        <w:t xml:space="preserve"> te komunikacijsku opremu),</w:t>
      </w:r>
      <w:r w:rsidR="0077709F" w:rsidRPr="00AA37E6">
        <w:rPr>
          <w:sz w:val="24"/>
          <w:szCs w:val="22"/>
        </w:rPr>
        <w:t xml:space="preserve"> a sve zbog dotrajalosti postojeće o</w:t>
      </w:r>
      <w:r w:rsidR="00A61786" w:rsidRPr="00AA37E6">
        <w:rPr>
          <w:sz w:val="24"/>
          <w:szCs w:val="22"/>
        </w:rPr>
        <w:t xml:space="preserve">preme </w:t>
      </w:r>
      <w:r w:rsidR="0077709F" w:rsidRPr="00AA37E6">
        <w:rPr>
          <w:sz w:val="24"/>
          <w:szCs w:val="22"/>
        </w:rPr>
        <w:t xml:space="preserve">te za podmirenje rashoda za </w:t>
      </w:r>
      <w:r w:rsidR="00A61786" w:rsidRPr="00AA37E6">
        <w:rPr>
          <w:sz w:val="24"/>
          <w:szCs w:val="22"/>
        </w:rPr>
        <w:t xml:space="preserve">sedam </w:t>
      </w:r>
      <w:r w:rsidR="00BD6C6E" w:rsidRPr="00AA37E6">
        <w:rPr>
          <w:sz w:val="24"/>
          <w:szCs w:val="22"/>
        </w:rPr>
        <w:t>službenih vozila nabavljenih</w:t>
      </w:r>
      <w:r w:rsidR="00330EE1">
        <w:rPr>
          <w:sz w:val="24"/>
          <w:szCs w:val="22"/>
        </w:rPr>
        <w:t xml:space="preserve"> putem fina</w:t>
      </w:r>
      <w:r w:rsidR="00DB6DFB">
        <w:rPr>
          <w:sz w:val="24"/>
          <w:szCs w:val="22"/>
        </w:rPr>
        <w:t xml:space="preserve">ncijskog lizinga te su iznosili </w:t>
      </w:r>
      <w:r w:rsidR="00330EE1">
        <w:rPr>
          <w:sz w:val="24"/>
          <w:szCs w:val="22"/>
        </w:rPr>
        <w:t xml:space="preserve">27.546,94 eur. </w:t>
      </w:r>
    </w:p>
    <w:p w14:paraId="52371612" w14:textId="77777777" w:rsidR="00E2461A" w:rsidRPr="00AA37E6" w:rsidRDefault="00E2461A" w:rsidP="003A79ED">
      <w:pPr>
        <w:spacing w:line="360" w:lineRule="auto"/>
        <w:rPr>
          <w:sz w:val="24"/>
          <w:szCs w:val="22"/>
        </w:rPr>
      </w:pPr>
    </w:p>
    <w:p w14:paraId="4108C039" w14:textId="77777777" w:rsidR="0077709F" w:rsidRPr="00AA37E6" w:rsidRDefault="0077709F" w:rsidP="003A79ED">
      <w:pPr>
        <w:spacing w:line="276" w:lineRule="auto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IZVOR 31 VLASTITI PRIHODI</w:t>
      </w:r>
    </w:p>
    <w:p w14:paraId="40ECD81B" w14:textId="10A1B310" w:rsidR="00E2461A" w:rsidRPr="00AA37E6" w:rsidRDefault="0077709F" w:rsidP="003A79ED">
      <w:pPr>
        <w:spacing w:line="276" w:lineRule="auto"/>
        <w:rPr>
          <w:sz w:val="24"/>
          <w:szCs w:val="22"/>
        </w:rPr>
      </w:pPr>
      <w:r w:rsidRPr="00AA37E6">
        <w:rPr>
          <w:sz w:val="24"/>
          <w:szCs w:val="22"/>
        </w:rPr>
        <w:t xml:space="preserve">Vlastiti prihodi se ostvaruju od prihoda </w:t>
      </w:r>
      <w:r w:rsidR="00BD6C6E" w:rsidRPr="00AA37E6">
        <w:rPr>
          <w:sz w:val="24"/>
          <w:szCs w:val="22"/>
        </w:rPr>
        <w:t>usluge kopiranja</w:t>
      </w:r>
      <w:r w:rsidR="00884A61" w:rsidRPr="00AA37E6">
        <w:rPr>
          <w:sz w:val="24"/>
          <w:szCs w:val="22"/>
        </w:rPr>
        <w:t xml:space="preserve"> spisa</w:t>
      </w:r>
      <w:r w:rsidR="00BD6C6E" w:rsidRPr="00AA37E6">
        <w:rPr>
          <w:sz w:val="24"/>
          <w:szCs w:val="22"/>
        </w:rPr>
        <w:t>.</w:t>
      </w:r>
      <w:r w:rsidRPr="00AA37E6">
        <w:rPr>
          <w:sz w:val="24"/>
          <w:szCs w:val="22"/>
        </w:rPr>
        <w:t xml:space="preserve"> </w:t>
      </w:r>
      <w:r w:rsidR="00884A61" w:rsidRPr="00AA37E6">
        <w:rPr>
          <w:sz w:val="24"/>
          <w:szCs w:val="22"/>
        </w:rPr>
        <w:t xml:space="preserve">Neutrošena ostvarena sredstva se prenose iz tekuće u narednu godinu. </w:t>
      </w:r>
    </w:p>
    <w:p w14:paraId="27033DB3" w14:textId="2A6EB259" w:rsidR="00C71A1C" w:rsidRPr="00AA37E6" w:rsidRDefault="00C71A1C">
      <w:pPr>
        <w:jc w:val="left"/>
        <w:rPr>
          <w:sz w:val="24"/>
        </w:rPr>
      </w:pPr>
    </w:p>
    <w:p w14:paraId="43DCE9EC" w14:textId="0C23D3E6" w:rsidR="00B924BC" w:rsidRPr="00AA37E6" w:rsidRDefault="007527DF">
      <w:pPr>
        <w:pStyle w:val="Naslov4"/>
        <w:rPr>
          <w:sz w:val="32"/>
        </w:rPr>
      </w:pPr>
      <w:r w:rsidRPr="00AA37E6">
        <w:rPr>
          <w:sz w:val="32"/>
        </w:rPr>
        <w:lastRenderedPageBreak/>
        <w:t>A678008 MEĐUNARODNA SURADNJA NA SUZBIJANJU ORGANIZIRANOG KRIMINALITETA</w:t>
      </w:r>
    </w:p>
    <w:p w14:paraId="2D0467A4" w14:textId="77777777" w:rsidR="00B957C7" w:rsidRPr="00AA37E6" w:rsidRDefault="00B957C7" w:rsidP="005133F8">
      <w:pPr>
        <w:spacing w:line="360" w:lineRule="auto"/>
        <w:rPr>
          <w:b/>
          <w:sz w:val="24"/>
        </w:rPr>
      </w:pPr>
      <w:r w:rsidRPr="00AA37E6">
        <w:rPr>
          <w:b/>
          <w:sz w:val="24"/>
        </w:rPr>
        <w:t>Zakonske i druge pravne osnove</w:t>
      </w:r>
    </w:p>
    <w:p w14:paraId="780AC59A" w14:textId="0D6B7880" w:rsidR="00B924BC" w:rsidRPr="00AA37E6" w:rsidRDefault="00B957C7" w:rsidP="005133F8">
      <w:pPr>
        <w:spacing w:line="360" w:lineRule="auto"/>
        <w:rPr>
          <w:sz w:val="24"/>
        </w:rPr>
      </w:pPr>
      <w:r w:rsidRPr="00AA37E6">
        <w:rPr>
          <w:sz w:val="24"/>
        </w:rPr>
        <w:t>Zakon o Uredu za suzbijanje korupcije i organiziranog kriminaliteta</w:t>
      </w:r>
    </w:p>
    <w:tbl>
      <w:tblPr>
        <w:tblStyle w:val="StilTablice"/>
        <w:tblW w:w="102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842"/>
        <w:gridCol w:w="1700"/>
        <w:gridCol w:w="1800"/>
      </w:tblGrid>
      <w:tr w:rsidR="00580A8F" w:rsidRPr="00AA37E6" w14:paraId="6D824149" w14:textId="77777777" w:rsidTr="00CF7779">
        <w:trPr>
          <w:trHeight w:val="695"/>
          <w:jc w:val="center"/>
        </w:trPr>
        <w:tc>
          <w:tcPr>
            <w:tcW w:w="1696" w:type="dxa"/>
            <w:shd w:val="clear" w:color="auto" w:fill="B5C0D8"/>
          </w:tcPr>
          <w:p w14:paraId="6C0E74A0" w14:textId="6F11AA75" w:rsidR="00580A8F" w:rsidRPr="00AA37E6" w:rsidRDefault="00580A8F" w:rsidP="00CF7779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Naziv aktivnosti</w:t>
            </w:r>
          </w:p>
        </w:tc>
        <w:tc>
          <w:tcPr>
            <w:tcW w:w="1701" w:type="dxa"/>
            <w:shd w:val="clear" w:color="auto" w:fill="B5C0D8"/>
          </w:tcPr>
          <w:p w14:paraId="019D05D5" w14:textId="77777777" w:rsidR="00580A8F" w:rsidRPr="00AA37E6" w:rsidRDefault="00580A8F" w:rsidP="00CF7779">
            <w:pPr>
              <w:pStyle w:val="CellHeader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 xml:space="preserve">Izvršenje 2023.  </w:t>
            </w:r>
          </w:p>
          <w:p w14:paraId="7FF56403" w14:textId="77777777" w:rsidR="00580A8F" w:rsidRPr="00AA37E6" w:rsidRDefault="00580A8F" w:rsidP="00CF7779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560" w:type="dxa"/>
            <w:shd w:val="clear" w:color="auto" w:fill="B5C0D8"/>
          </w:tcPr>
          <w:p w14:paraId="040ACAAB" w14:textId="77777777" w:rsidR="00580A8F" w:rsidRPr="00AA37E6" w:rsidRDefault="00580A8F" w:rsidP="00CF7779">
            <w:pPr>
              <w:pStyle w:val="CellHeader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 xml:space="preserve">Plan 2024. </w:t>
            </w:r>
          </w:p>
          <w:p w14:paraId="2D0DBFA4" w14:textId="77777777" w:rsidR="00580A8F" w:rsidRPr="00AA37E6" w:rsidRDefault="00580A8F" w:rsidP="00CF7779">
            <w:pPr>
              <w:pStyle w:val="CellHeader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842" w:type="dxa"/>
            <w:shd w:val="clear" w:color="auto" w:fill="B5C0D8"/>
          </w:tcPr>
          <w:p w14:paraId="037DAEEE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AA37E6">
              <w:rPr>
                <w:rFonts w:cs="Times New Roman"/>
                <w:sz w:val="22"/>
              </w:rPr>
              <w:t>Izvršenje 2024.</w:t>
            </w:r>
          </w:p>
          <w:p w14:paraId="07AC845B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</w:p>
          <w:p w14:paraId="005E4AC3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rFonts w:cs="Times New Roman"/>
                <w:sz w:val="22"/>
              </w:rPr>
              <w:t>(eur)</w:t>
            </w:r>
          </w:p>
        </w:tc>
        <w:tc>
          <w:tcPr>
            <w:tcW w:w="1700" w:type="dxa"/>
            <w:shd w:val="clear" w:color="auto" w:fill="B5C0D8"/>
          </w:tcPr>
          <w:p w14:paraId="3C66DB0E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 xml:space="preserve">Indeks </w:t>
            </w:r>
          </w:p>
          <w:p w14:paraId="50EE751D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</w:p>
          <w:p w14:paraId="670FB745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2024./</w:t>
            </w:r>
          </w:p>
          <w:p w14:paraId="60F6B4D2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plan 2024.</w:t>
            </w:r>
          </w:p>
        </w:tc>
        <w:tc>
          <w:tcPr>
            <w:tcW w:w="1800" w:type="dxa"/>
            <w:shd w:val="clear" w:color="auto" w:fill="B5C0D8"/>
          </w:tcPr>
          <w:p w14:paraId="7383C58F" w14:textId="77777777" w:rsidR="00580A8F" w:rsidRPr="00AA37E6" w:rsidRDefault="00580A8F" w:rsidP="00CF7779">
            <w:pPr>
              <w:pStyle w:val="CellHeader"/>
              <w:spacing w:after="0"/>
              <w:rPr>
                <w:sz w:val="22"/>
              </w:rPr>
            </w:pPr>
          </w:p>
          <w:p w14:paraId="213F0705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 xml:space="preserve">Indeks </w:t>
            </w:r>
          </w:p>
          <w:p w14:paraId="09FD1F44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</w:p>
          <w:p w14:paraId="4EA51C04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2024./</w:t>
            </w:r>
          </w:p>
          <w:p w14:paraId="2F3094A7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  <w:r w:rsidRPr="00AA37E6">
              <w:rPr>
                <w:sz w:val="22"/>
              </w:rPr>
              <w:t>izvršenje 2023.</w:t>
            </w:r>
          </w:p>
          <w:p w14:paraId="75C3A447" w14:textId="77777777" w:rsidR="00580A8F" w:rsidRPr="00AA37E6" w:rsidRDefault="00580A8F" w:rsidP="00CF7779">
            <w:pPr>
              <w:pStyle w:val="CellHeader"/>
              <w:spacing w:after="0"/>
              <w:jc w:val="center"/>
              <w:rPr>
                <w:sz w:val="22"/>
              </w:rPr>
            </w:pPr>
          </w:p>
        </w:tc>
      </w:tr>
      <w:tr w:rsidR="00580A8F" w:rsidRPr="00AA37E6" w14:paraId="680BB1EF" w14:textId="77777777" w:rsidTr="00CF7779">
        <w:trPr>
          <w:trHeight w:val="397"/>
          <w:jc w:val="center"/>
        </w:trPr>
        <w:tc>
          <w:tcPr>
            <w:tcW w:w="1696" w:type="dxa"/>
          </w:tcPr>
          <w:p w14:paraId="0B1909E7" w14:textId="2BDE48F2" w:rsidR="00580A8F" w:rsidRPr="00AA37E6" w:rsidRDefault="00580A8F" w:rsidP="00580A8F">
            <w:pPr>
              <w:jc w:val="center"/>
              <w:rPr>
                <w:sz w:val="22"/>
              </w:rPr>
            </w:pPr>
          </w:p>
          <w:p w14:paraId="20C8F17B" w14:textId="7FF23CF2" w:rsidR="00580A8F" w:rsidRPr="00AA37E6" w:rsidRDefault="00580A8F" w:rsidP="00580A8F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A678008</w:t>
            </w:r>
          </w:p>
          <w:p w14:paraId="57E4AE7C" w14:textId="77777777" w:rsidR="00580A8F" w:rsidRPr="00AA37E6" w:rsidRDefault="00580A8F" w:rsidP="00CF7779">
            <w:pPr>
              <w:pStyle w:val="CellColumn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7B06AABA" w14:textId="1E6566D9" w:rsidR="00580A8F" w:rsidRPr="00AA37E6" w:rsidRDefault="003D1B05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13.692,68</w:t>
            </w:r>
          </w:p>
        </w:tc>
        <w:tc>
          <w:tcPr>
            <w:tcW w:w="1560" w:type="dxa"/>
          </w:tcPr>
          <w:p w14:paraId="49D0A00D" w14:textId="1CF78349" w:rsidR="00580A8F" w:rsidRPr="00AA37E6" w:rsidRDefault="00884A61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32.200</w:t>
            </w:r>
            <w:r w:rsidR="00580A8F" w:rsidRPr="00AA37E6">
              <w:rPr>
                <w:sz w:val="22"/>
              </w:rPr>
              <w:t>,00</w:t>
            </w:r>
          </w:p>
        </w:tc>
        <w:tc>
          <w:tcPr>
            <w:tcW w:w="1842" w:type="dxa"/>
          </w:tcPr>
          <w:p w14:paraId="6398DD93" w14:textId="2288D4D5" w:rsidR="00580A8F" w:rsidRPr="00AA37E6" w:rsidRDefault="00580A8F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11.802,02</w:t>
            </w:r>
          </w:p>
        </w:tc>
        <w:tc>
          <w:tcPr>
            <w:tcW w:w="1700" w:type="dxa"/>
          </w:tcPr>
          <w:p w14:paraId="7A793BD9" w14:textId="1DB5AFAC" w:rsidR="00580A8F" w:rsidRPr="00AA37E6" w:rsidRDefault="00884A61" w:rsidP="00CF7779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36,70</w:t>
            </w:r>
          </w:p>
        </w:tc>
        <w:tc>
          <w:tcPr>
            <w:tcW w:w="1800" w:type="dxa"/>
          </w:tcPr>
          <w:p w14:paraId="17F9DFCE" w14:textId="1FECFFF8" w:rsidR="003D1B05" w:rsidRPr="00AA37E6" w:rsidRDefault="003D1B05" w:rsidP="003D1B05">
            <w:pPr>
              <w:jc w:val="center"/>
              <w:rPr>
                <w:sz w:val="22"/>
              </w:rPr>
            </w:pPr>
            <w:r w:rsidRPr="00AA37E6">
              <w:rPr>
                <w:sz w:val="22"/>
              </w:rPr>
              <w:t>86,20</w:t>
            </w:r>
          </w:p>
        </w:tc>
      </w:tr>
    </w:tbl>
    <w:p w14:paraId="2F4271F6" w14:textId="449D9008" w:rsidR="00A61786" w:rsidRPr="00AA37E6" w:rsidRDefault="00A61786">
      <w:pPr>
        <w:jc w:val="left"/>
        <w:rPr>
          <w:sz w:val="24"/>
        </w:rPr>
      </w:pPr>
    </w:p>
    <w:p w14:paraId="7091A95C" w14:textId="738E147D" w:rsidR="006747F0" w:rsidRPr="00AA37E6" w:rsidRDefault="006747F0" w:rsidP="003A79ED">
      <w:pPr>
        <w:spacing w:line="276" w:lineRule="auto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IZVOR 11</w:t>
      </w:r>
    </w:p>
    <w:p w14:paraId="3B5DFD0F" w14:textId="39299849" w:rsidR="00580A8F" w:rsidRPr="00AA37E6" w:rsidRDefault="003D1B05" w:rsidP="003A79ED">
      <w:pPr>
        <w:spacing w:line="276" w:lineRule="auto"/>
        <w:rPr>
          <w:sz w:val="24"/>
        </w:rPr>
      </w:pPr>
      <w:r w:rsidRPr="00AA37E6">
        <w:rPr>
          <w:sz w:val="24"/>
        </w:rPr>
        <w:t>Navedenom</w:t>
      </w:r>
      <w:r w:rsidR="00B957C7" w:rsidRPr="00AA37E6">
        <w:rPr>
          <w:sz w:val="24"/>
        </w:rPr>
        <w:t xml:space="preserve"> aktivnošću financira se suradnja Ureda sa državnim odvjetništvima iz regije, unutar i izvan Europe, kao i sa različitim međunarodnim organizacijama. </w:t>
      </w:r>
      <w:r w:rsidRPr="00AA37E6">
        <w:rPr>
          <w:sz w:val="24"/>
        </w:rPr>
        <w:t xml:space="preserve">Izvršenje za 2024. godinu odnosilo se na troškove službenog puta i smještaja u inozemstvu. </w:t>
      </w:r>
    </w:p>
    <w:p w14:paraId="0ADDEF6F" w14:textId="2B08F545" w:rsidR="00205A3D" w:rsidRPr="00AA37E6" w:rsidRDefault="00996A67" w:rsidP="003A79ED">
      <w:pPr>
        <w:spacing w:line="276" w:lineRule="auto"/>
        <w:rPr>
          <w:b/>
          <w:sz w:val="28"/>
          <w:szCs w:val="24"/>
        </w:rPr>
      </w:pPr>
      <w:r w:rsidRPr="00AA37E6">
        <w:rPr>
          <w:b/>
          <w:sz w:val="28"/>
          <w:szCs w:val="24"/>
        </w:rPr>
        <w:t>IZVOR 51 – POMOĆI EU</w:t>
      </w:r>
    </w:p>
    <w:p w14:paraId="4F959737" w14:textId="6F8C87EB" w:rsidR="006747F0" w:rsidRPr="00AA37E6" w:rsidRDefault="00A61786" w:rsidP="003A79ED">
      <w:pPr>
        <w:spacing w:line="276" w:lineRule="auto"/>
        <w:rPr>
          <w:sz w:val="28"/>
          <w:szCs w:val="24"/>
        </w:rPr>
      </w:pPr>
      <w:r w:rsidRPr="00330EE1">
        <w:rPr>
          <w:sz w:val="24"/>
          <w:szCs w:val="24"/>
        </w:rPr>
        <w:t>Povrati po p</w:t>
      </w:r>
      <w:r w:rsidR="003D1B05" w:rsidRPr="00330EE1">
        <w:rPr>
          <w:sz w:val="24"/>
          <w:szCs w:val="24"/>
        </w:rPr>
        <w:t>utnim nalozim</w:t>
      </w:r>
      <w:r w:rsidRPr="00330EE1">
        <w:rPr>
          <w:sz w:val="24"/>
          <w:szCs w:val="24"/>
        </w:rPr>
        <w:t xml:space="preserve"> za troškove putovanja</w:t>
      </w:r>
      <w:r w:rsidR="003D1B05" w:rsidRPr="00330EE1">
        <w:rPr>
          <w:sz w:val="24"/>
          <w:szCs w:val="24"/>
        </w:rPr>
        <w:t xml:space="preserve"> na osnovu međunarodne suradnje. </w:t>
      </w:r>
      <w:r w:rsidR="00884A61" w:rsidRPr="00AA37E6">
        <w:rPr>
          <w:sz w:val="24"/>
          <w:szCs w:val="22"/>
        </w:rPr>
        <w:t>Ostvarena</w:t>
      </w:r>
      <w:r w:rsidR="00884A61" w:rsidRPr="00AA37E6">
        <w:rPr>
          <w:sz w:val="24"/>
          <w:szCs w:val="22"/>
        </w:rPr>
        <w:t xml:space="preserve"> sredstva se prenose iz tekuće u narednu godinu.</w:t>
      </w:r>
    </w:p>
    <w:p w14:paraId="19E9612B" w14:textId="53B34C57" w:rsidR="00E51756" w:rsidRPr="00AA37E6" w:rsidRDefault="00E51756" w:rsidP="00E51756">
      <w:pPr>
        <w:rPr>
          <w:sz w:val="24"/>
        </w:rPr>
      </w:pPr>
    </w:p>
    <w:sectPr w:rsidR="00E51756" w:rsidRPr="00AA37E6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BDFA7" w14:textId="77777777" w:rsidR="003649B7" w:rsidRDefault="003649B7" w:rsidP="00F352E6">
      <w:r>
        <w:separator/>
      </w:r>
    </w:p>
  </w:endnote>
  <w:endnote w:type="continuationSeparator" w:id="0">
    <w:p w14:paraId="21144CB2" w14:textId="77777777" w:rsidR="003649B7" w:rsidRDefault="003649B7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23D6" w14:textId="6342FAB8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DB6DFB" w:rsidRPr="00DB6DFB">
      <w:rPr>
        <w:noProof/>
        <w:sz w:val="16"/>
        <w:szCs w:val="16"/>
        <w:lang w:val="hr-HR"/>
      </w:rPr>
      <w:t>3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3171" w14:textId="77777777" w:rsidR="003649B7" w:rsidRDefault="003649B7" w:rsidP="00F352E6">
      <w:r>
        <w:separator/>
      </w:r>
    </w:p>
  </w:footnote>
  <w:footnote w:type="continuationSeparator" w:id="0">
    <w:p w14:paraId="27798C51" w14:textId="77777777" w:rsidR="003649B7" w:rsidRDefault="003649B7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530B8"/>
    <w:multiLevelType w:val="hybridMultilevel"/>
    <w:tmpl w:val="00283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2D38"/>
    <w:rsid w:val="0002533C"/>
    <w:rsid w:val="000352D6"/>
    <w:rsid w:val="00047DBD"/>
    <w:rsid w:val="00055DBB"/>
    <w:rsid w:val="000663D0"/>
    <w:rsid w:val="0007094A"/>
    <w:rsid w:val="00083922"/>
    <w:rsid w:val="00084336"/>
    <w:rsid w:val="0009015A"/>
    <w:rsid w:val="000C0A6C"/>
    <w:rsid w:val="000C0F1D"/>
    <w:rsid w:val="000C31CD"/>
    <w:rsid w:val="000C5204"/>
    <w:rsid w:val="000C6382"/>
    <w:rsid w:val="000E6458"/>
    <w:rsid w:val="0010779D"/>
    <w:rsid w:val="001152CA"/>
    <w:rsid w:val="0012088F"/>
    <w:rsid w:val="0013155A"/>
    <w:rsid w:val="00167773"/>
    <w:rsid w:val="0017490A"/>
    <w:rsid w:val="00177C82"/>
    <w:rsid w:val="00180CB1"/>
    <w:rsid w:val="00190685"/>
    <w:rsid w:val="001A0E9B"/>
    <w:rsid w:val="001A2CB3"/>
    <w:rsid w:val="001B079B"/>
    <w:rsid w:val="001E10FB"/>
    <w:rsid w:val="001E3E77"/>
    <w:rsid w:val="001E5246"/>
    <w:rsid w:val="001E5FC4"/>
    <w:rsid w:val="002045B4"/>
    <w:rsid w:val="00205A3D"/>
    <w:rsid w:val="00207D6C"/>
    <w:rsid w:val="00213C6C"/>
    <w:rsid w:val="0021698F"/>
    <w:rsid w:val="00216EA4"/>
    <w:rsid w:val="00232CD7"/>
    <w:rsid w:val="0024552E"/>
    <w:rsid w:val="00261075"/>
    <w:rsid w:val="00265296"/>
    <w:rsid w:val="0027042C"/>
    <w:rsid w:val="00297003"/>
    <w:rsid w:val="002C0F64"/>
    <w:rsid w:val="002C4172"/>
    <w:rsid w:val="002C57D3"/>
    <w:rsid w:val="002E6710"/>
    <w:rsid w:val="002F0A69"/>
    <w:rsid w:val="002F736F"/>
    <w:rsid w:val="00302F3F"/>
    <w:rsid w:val="00305BBE"/>
    <w:rsid w:val="00307558"/>
    <w:rsid w:val="00311AA1"/>
    <w:rsid w:val="00313B67"/>
    <w:rsid w:val="003142ED"/>
    <w:rsid w:val="0031790B"/>
    <w:rsid w:val="00317AF9"/>
    <w:rsid w:val="00323884"/>
    <w:rsid w:val="00324BB9"/>
    <w:rsid w:val="00330EE1"/>
    <w:rsid w:val="00334493"/>
    <w:rsid w:val="003649B7"/>
    <w:rsid w:val="00372C6E"/>
    <w:rsid w:val="0037513D"/>
    <w:rsid w:val="00375708"/>
    <w:rsid w:val="00382225"/>
    <w:rsid w:val="00386953"/>
    <w:rsid w:val="003900F6"/>
    <w:rsid w:val="003A578B"/>
    <w:rsid w:val="003A79ED"/>
    <w:rsid w:val="003C0A0B"/>
    <w:rsid w:val="003C2B23"/>
    <w:rsid w:val="003D186F"/>
    <w:rsid w:val="003D1B05"/>
    <w:rsid w:val="003E1C1B"/>
    <w:rsid w:val="003E75BD"/>
    <w:rsid w:val="003F1409"/>
    <w:rsid w:val="00425ED2"/>
    <w:rsid w:val="00442D35"/>
    <w:rsid w:val="00444468"/>
    <w:rsid w:val="0046109D"/>
    <w:rsid w:val="00462830"/>
    <w:rsid w:val="00463609"/>
    <w:rsid w:val="00480C76"/>
    <w:rsid w:val="00491C07"/>
    <w:rsid w:val="004A40ED"/>
    <w:rsid w:val="004A6030"/>
    <w:rsid w:val="004B5BA4"/>
    <w:rsid w:val="004B5F44"/>
    <w:rsid w:val="004B76C5"/>
    <w:rsid w:val="004C01B5"/>
    <w:rsid w:val="004D2E42"/>
    <w:rsid w:val="004E1B6A"/>
    <w:rsid w:val="004F6164"/>
    <w:rsid w:val="005133F8"/>
    <w:rsid w:val="0052289C"/>
    <w:rsid w:val="00524A66"/>
    <w:rsid w:val="00526A7C"/>
    <w:rsid w:val="00547079"/>
    <w:rsid w:val="00561A39"/>
    <w:rsid w:val="00580A8F"/>
    <w:rsid w:val="005A520C"/>
    <w:rsid w:val="005A70C0"/>
    <w:rsid w:val="005B6ED7"/>
    <w:rsid w:val="005D662E"/>
    <w:rsid w:val="005D7084"/>
    <w:rsid w:val="005E0964"/>
    <w:rsid w:val="005E1014"/>
    <w:rsid w:val="005E2D85"/>
    <w:rsid w:val="005F432E"/>
    <w:rsid w:val="0060388A"/>
    <w:rsid w:val="00633683"/>
    <w:rsid w:val="00641227"/>
    <w:rsid w:val="0064554D"/>
    <w:rsid w:val="00650438"/>
    <w:rsid w:val="00655A61"/>
    <w:rsid w:val="006657E2"/>
    <w:rsid w:val="00674346"/>
    <w:rsid w:val="006747F0"/>
    <w:rsid w:val="00676EC1"/>
    <w:rsid w:val="00690E8C"/>
    <w:rsid w:val="00691EA9"/>
    <w:rsid w:val="00697DF2"/>
    <w:rsid w:val="006A76FB"/>
    <w:rsid w:val="006B3283"/>
    <w:rsid w:val="006D04E1"/>
    <w:rsid w:val="006F7361"/>
    <w:rsid w:val="00714763"/>
    <w:rsid w:val="0071686C"/>
    <w:rsid w:val="007203DB"/>
    <w:rsid w:val="007341BA"/>
    <w:rsid w:val="00734FDB"/>
    <w:rsid w:val="0074652F"/>
    <w:rsid w:val="007527DF"/>
    <w:rsid w:val="00761896"/>
    <w:rsid w:val="007665AA"/>
    <w:rsid w:val="0077709F"/>
    <w:rsid w:val="007869F3"/>
    <w:rsid w:val="00795CA6"/>
    <w:rsid w:val="007A0C34"/>
    <w:rsid w:val="007A7E05"/>
    <w:rsid w:val="007A7E45"/>
    <w:rsid w:val="007B05F3"/>
    <w:rsid w:val="007B1EA2"/>
    <w:rsid w:val="007B2FE3"/>
    <w:rsid w:val="007D1C46"/>
    <w:rsid w:val="007D2596"/>
    <w:rsid w:val="007D2E12"/>
    <w:rsid w:val="007D353C"/>
    <w:rsid w:val="007D395B"/>
    <w:rsid w:val="007D4430"/>
    <w:rsid w:val="007D6123"/>
    <w:rsid w:val="007E2B6E"/>
    <w:rsid w:val="007F767C"/>
    <w:rsid w:val="00804571"/>
    <w:rsid w:val="008173AD"/>
    <w:rsid w:val="00817FBD"/>
    <w:rsid w:val="00830B46"/>
    <w:rsid w:val="00847495"/>
    <w:rsid w:val="008537A3"/>
    <w:rsid w:val="008636E2"/>
    <w:rsid w:val="00864414"/>
    <w:rsid w:val="0087444E"/>
    <w:rsid w:val="0087786B"/>
    <w:rsid w:val="00884A61"/>
    <w:rsid w:val="008A4E81"/>
    <w:rsid w:val="008A7E2A"/>
    <w:rsid w:val="008D4E8C"/>
    <w:rsid w:val="008D5592"/>
    <w:rsid w:val="008F5BD1"/>
    <w:rsid w:val="00924ECE"/>
    <w:rsid w:val="009359F2"/>
    <w:rsid w:val="00940959"/>
    <w:rsid w:val="0094382E"/>
    <w:rsid w:val="00951B1A"/>
    <w:rsid w:val="00954FF0"/>
    <w:rsid w:val="00966FE6"/>
    <w:rsid w:val="009771D9"/>
    <w:rsid w:val="00985867"/>
    <w:rsid w:val="00996A67"/>
    <w:rsid w:val="009A26A8"/>
    <w:rsid w:val="009A7765"/>
    <w:rsid w:val="009B16E9"/>
    <w:rsid w:val="009E250D"/>
    <w:rsid w:val="009E2BD9"/>
    <w:rsid w:val="009E33D3"/>
    <w:rsid w:val="00A021A2"/>
    <w:rsid w:val="00A24493"/>
    <w:rsid w:val="00A320E5"/>
    <w:rsid w:val="00A50FFA"/>
    <w:rsid w:val="00A61786"/>
    <w:rsid w:val="00A70582"/>
    <w:rsid w:val="00A70A3D"/>
    <w:rsid w:val="00A729C9"/>
    <w:rsid w:val="00A94C3F"/>
    <w:rsid w:val="00AA37E6"/>
    <w:rsid w:val="00AA7361"/>
    <w:rsid w:val="00AB07C1"/>
    <w:rsid w:val="00AB5FEA"/>
    <w:rsid w:val="00AB7B4E"/>
    <w:rsid w:val="00AC0167"/>
    <w:rsid w:val="00AC128F"/>
    <w:rsid w:val="00AC4FFB"/>
    <w:rsid w:val="00AD2190"/>
    <w:rsid w:val="00AD33A3"/>
    <w:rsid w:val="00AD63AA"/>
    <w:rsid w:val="00AF7D13"/>
    <w:rsid w:val="00B15946"/>
    <w:rsid w:val="00B22582"/>
    <w:rsid w:val="00B239D2"/>
    <w:rsid w:val="00B26EA8"/>
    <w:rsid w:val="00B2737F"/>
    <w:rsid w:val="00B31E2E"/>
    <w:rsid w:val="00B40B1E"/>
    <w:rsid w:val="00B41BF8"/>
    <w:rsid w:val="00B44E13"/>
    <w:rsid w:val="00B47E6F"/>
    <w:rsid w:val="00B55793"/>
    <w:rsid w:val="00B62AAD"/>
    <w:rsid w:val="00B8393B"/>
    <w:rsid w:val="00B83E0E"/>
    <w:rsid w:val="00B924BC"/>
    <w:rsid w:val="00B93209"/>
    <w:rsid w:val="00B957C7"/>
    <w:rsid w:val="00B968EB"/>
    <w:rsid w:val="00B97FA7"/>
    <w:rsid w:val="00BA3314"/>
    <w:rsid w:val="00BA487B"/>
    <w:rsid w:val="00BA7BD1"/>
    <w:rsid w:val="00BB0A02"/>
    <w:rsid w:val="00BB642B"/>
    <w:rsid w:val="00BB7A8E"/>
    <w:rsid w:val="00BD6C6E"/>
    <w:rsid w:val="00BE79DF"/>
    <w:rsid w:val="00BF02E9"/>
    <w:rsid w:val="00BF3F24"/>
    <w:rsid w:val="00C013DF"/>
    <w:rsid w:val="00C34502"/>
    <w:rsid w:val="00C45AFA"/>
    <w:rsid w:val="00C56A03"/>
    <w:rsid w:val="00C56B1F"/>
    <w:rsid w:val="00C62BB9"/>
    <w:rsid w:val="00C71A1C"/>
    <w:rsid w:val="00C7470A"/>
    <w:rsid w:val="00CC42E6"/>
    <w:rsid w:val="00CC58D2"/>
    <w:rsid w:val="00D2511D"/>
    <w:rsid w:val="00D61D72"/>
    <w:rsid w:val="00D64569"/>
    <w:rsid w:val="00D86575"/>
    <w:rsid w:val="00D91993"/>
    <w:rsid w:val="00DB6DFB"/>
    <w:rsid w:val="00DE2416"/>
    <w:rsid w:val="00DE37AF"/>
    <w:rsid w:val="00DE5409"/>
    <w:rsid w:val="00E2461A"/>
    <w:rsid w:val="00E35374"/>
    <w:rsid w:val="00E42E87"/>
    <w:rsid w:val="00E51756"/>
    <w:rsid w:val="00E61D9E"/>
    <w:rsid w:val="00E62EF0"/>
    <w:rsid w:val="00E758A6"/>
    <w:rsid w:val="00E91AA7"/>
    <w:rsid w:val="00E92518"/>
    <w:rsid w:val="00EC0449"/>
    <w:rsid w:val="00EC188B"/>
    <w:rsid w:val="00EC5F84"/>
    <w:rsid w:val="00ED0E3A"/>
    <w:rsid w:val="00ED128B"/>
    <w:rsid w:val="00ED62CF"/>
    <w:rsid w:val="00F074AE"/>
    <w:rsid w:val="00F2206B"/>
    <w:rsid w:val="00F352E6"/>
    <w:rsid w:val="00F43667"/>
    <w:rsid w:val="00F622C3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  <w15:docId w15:val="{FCD1D411-3A70-42AB-85C0-D14E18B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  <w:style w:type="table" w:customStyle="1" w:styleId="StilTablice1">
    <w:name w:val="StilTablice1"/>
    <w:basedOn w:val="Obinatablica"/>
    <w:uiPriority w:val="99"/>
    <w:rsid w:val="004E1B6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Odlomakpopisa">
    <w:name w:val="List Paragraph"/>
    <w:basedOn w:val="Normal"/>
    <w:uiPriority w:val="34"/>
    <w:qFormat/>
    <w:rsid w:val="00E51756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eastAsiaTheme="minorHAnsi" w:hAnsi="Calibri" w:cs="Calibri"/>
      <w:szCs w:val="22"/>
      <w:lang w:val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A5D4-F983-4129-8F4B-B758245E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Emina Bećirović Nikolovski</cp:lastModifiedBy>
  <cp:revision>14</cp:revision>
  <cp:lastPrinted>2025-03-31T10:13:00Z</cp:lastPrinted>
  <dcterms:created xsi:type="dcterms:W3CDTF">2025-03-31T08:44:00Z</dcterms:created>
  <dcterms:modified xsi:type="dcterms:W3CDTF">2025-03-31T10:20:00Z</dcterms:modified>
</cp:coreProperties>
</file>