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A77C7" w14:textId="2BA1C185" w:rsidR="008D439C" w:rsidRPr="008D439C" w:rsidRDefault="00BA7DD1" w:rsidP="00C007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>REPUBLIKA HRVATSKA</w:t>
      </w:r>
    </w:p>
    <w:p w14:paraId="0A3E0C1B" w14:textId="6791A6D9" w:rsidR="002E5ED4" w:rsidRPr="008D439C" w:rsidRDefault="00013EC1" w:rsidP="00C00732">
      <w:pPr>
        <w:pStyle w:val="Zaglavlje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b/>
          <w:sz w:val="24"/>
          <w:szCs w:val="24"/>
        </w:rPr>
      </w:pPr>
      <w:r w:rsidRPr="008D439C">
        <w:rPr>
          <w:rFonts w:ascii="Arial" w:eastAsiaTheme="majorEastAsia" w:hAnsi="Arial" w:cs="Arial"/>
          <w:b/>
          <w:sz w:val="24"/>
          <w:szCs w:val="24"/>
        </w:rPr>
        <w:t>DRŽAVNO ODVJETNIŠTVO</w:t>
      </w:r>
    </w:p>
    <w:p w14:paraId="565DFB0B" w14:textId="101BBA1F" w:rsidR="00013EC1" w:rsidRPr="008D439C" w:rsidRDefault="00013EC1" w:rsidP="00C00732">
      <w:pPr>
        <w:pStyle w:val="Zaglavlje"/>
        <w:pBdr>
          <w:bottom w:val="thickThinSmallGap" w:sz="24" w:space="1" w:color="622423" w:themeColor="accent2" w:themeShade="7F"/>
        </w:pBdr>
        <w:jc w:val="center"/>
        <w:rPr>
          <w:rFonts w:ascii="Arial" w:eastAsiaTheme="majorEastAsia" w:hAnsi="Arial" w:cs="Arial"/>
          <w:b/>
          <w:sz w:val="24"/>
          <w:szCs w:val="24"/>
        </w:rPr>
      </w:pPr>
      <w:r w:rsidRPr="008D439C">
        <w:rPr>
          <w:rFonts w:ascii="Arial" w:eastAsiaTheme="majorEastAsia" w:hAnsi="Arial" w:cs="Arial"/>
          <w:b/>
          <w:sz w:val="24"/>
          <w:szCs w:val="24"/>
        </w:rPr>
        <w:t>URED ZA SUZBIJANJE KORUPCIJE I ORGANIZIRANOG KRIMINALITETA</w:t>
      </w:r>
    </w:p>
    <w:p w14:paraId="46270084" w14:textId="795D3A19" w:rsidR="002E5ED4" w:rsidRPr="008D439C" w:rsidRDefault="002E5ED4" w:rsidP="002E5ED4">
      <w:pPr>
        <w:tabs>
          <w:tab w:val="left" w:pos="3405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14B9B0C" w14:textId="77777777" w:rsidR="002E5ED4" w:rsidRPr="008D439C" w:rsidRDefault="002E5ED4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2C88060F" w14:textId="77777777" w:rsidR="002E5ED4" w:rsidRPr="00CD7015" w:rsidRDefault="002E5ED4" w:rsidP="00A60DB0">
      <w:pPr>
        <w:spacing w:after="0"/>
        <w:rPr>
          <w:rFonts w:ascii="Arial" w:hAnsi="Arial" w:cs="Arial"/>
          <w:b/>
          <w:sz w:val="24"/>
          <w:szCs w:val="24"/>
        </w:rPr>
      </w:pPr>
    </w:p>
    <w:p w14:paraId="11D9E3E4" w14:textId="2F80A161" w:rsidR="00D95046" w:rsidRPr="00CD7015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CD7015">
        <w:rPr>
          <w:rFonts w:ascii="Arial" w:hAnsi="Arial" w:cs="Arial"/>
          <w:b/>
          <w:sz w:val="24"/>
          <w:szCs w:val="24"/>
        </w:rPr>
        <w:t>RAZDJEL:</w:t>
      </w:r>
      <w:r w:rsidR="00152405" w:rsidRPr="00CD7015">
        <w:rPr>
          <w:rFonts w:ascii="Arial" w:hAnsi="Arial" w:cs="Arial"/>
          <w:b/>
          <w:sz w:val="24"/>
          <w:szCs w:val="24"/>
        </w:rPr>
        <w:t xml:space="preserve"> </w:t>
      </w:r>
      <w:r w:rsidRPr="00CD7015">
        <w:rPr>
          <w:rFonts w:ascii="Arial" w:hAnsi="Arial" w:cs="Arial"/>
          <w:b/>
          <w:sz w:val="24"/>
          <w:szCs w:val="24"/>
        </w:rPr>
        <w:t>109</w:t>
      </w:r>
      <w:r w:rsidR="00F530FC" w:rsidRPr="00CD7015">
        <w:rPr>
          <w:rFonts w:ascii="Arial" w:hAnsi="Arial" w:cs="Arial"/>
          <w:b/>
          <w:sz w:val="24"/>
          <w:szCs w:val="24"/>
        </w:rPr>
        <w:t xml:space="preserve"> MINISTARSTVO PRAVOSUĐA</w:t>
      </w:r>
      <w:r w:rsidR="00E70FA6" w:rsidRPr="00CD7015">
        <w:rPr>
          <w:rFonts w:ascii="Arial" w:hAnsi="Arial" w:cs="Arial"/>
          <w:b/>
          <w:sz w:val="24"/>
          <w:szCs w:val="24"/>
        </w:rPr>
        <w:t xml:space="preserve">, UPRAVE I DIGITALNE TRANSFORMACIJE </w:t>
      </w:r>
    </w:p>
    <w:p w14:paraId="31049E57" w14:textId="691BC40E" w:rsidR="002146D9" w:rsidRPr="00CD7015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CD7015">
        <w:rPr>
          <w:rFonts w:ascii="Arial" w:hAnsi="Arial" w:cs="Arial"/>
          <w:b/>
          <w:sz w:val="24"/>
          <w:szCs w:val="24"/>
        </w:rPr>
        <w:t>GLAVA:</w:t>
      </w:r>
      <w:r w:rsidR="00152405" w:rsidRPr="00CD7015">
        <w:rPr>
          <w:rFonts w:ascii="Arial" w:hAnsi="Arial" w:cs="Arial"/>
          <w:b/>
          <w:sz w:val="24"/>
          <w:szCs w:val="24"/>
        </w:rPr>
        <w:t xml:space="preserve"> </w:t>
      </w:r>
      <w:r w:rsidR="00013EC1" w:rsidRPr="00CD7015">
        <w:rPr>
          <w:rFonts w:ascii="Arial" w:hAnsi="Arial" w:cs="Arial"/>
          <w:b/>
          <w:sz w:val="24"/>
          <w:szCs w:val="24"/>
        </w:rPr>
        <w:t>90</w:t>
      </w:r>
      <w:r w:rsidR="00D800E0" w:rsidRPr="00CD7015">
        <w:rPr>
          <w:rFonts w:ascii="Arial" w:hAnsi="Arial" w:cs="Arial"/>
          <w:b/>
          <w:sz w:val="24"/>
          <w:szCs w:val="24"/>
        </w:rPr>
        <w:t xml:space="preserve"> </w:t>
      </w:r>
      <w:r w:rsidR="002146D9" w:rsidRPr="00CD7015">
        <w:rPr>
          <w:rFonts w:ascii="Arial" w:hAnsi="Arial" w:cs="Arial"/>
          <w:b/>
          <w:sz w:val="24"/>
          <w:szCs w:val="24"/>
        </w:rPr>
        <w:t>DRŽAVNO ODVJETNIŠTVO</w:t>
      </w:r>
    </w:p>
    <w:p w14:paraId="242D22FE" w14:textId="193B318C" w:rsidR="00D95046" w:rsidRPr="00CD7015" w:rsidRDefault="00013EC1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CD7015">
        <w:rPr>
          <w:rFonts w:ascii="Arial" w:hAnsi="Arial" w:cs="Arial"/>
          <w:b/>
          <w:sz w:val="24"/>
          <w:szCs w:val="24"/>
        </w:rPr>
        <w:t>URED ZA SUZBIJANJE KORUPCIJE I ORGANIZIRANOG KRIMINALITETA</w:t>
      </w:r>
    </w:p>
    <w:p w14:paraId="48FE207A" w14:textId="69668CB2" w:rsidR="00D95046" w:rsidRDefault="00D95046" w:rsidP="00A60DB0">
      <w:pPr>
        <w:spacing w:after="0"/>
        <w:rPr>
          <w:rFonts w:ascii="Arial" w:hAnsi="Arial" w:cs="Arial"/>
          <w:b/>
          <w:sz w:val="24"/>
          <w:szCs w:val="24"/>
        </w:rPr>
      </w:pPr>
      <w:r w:rsidRPr="00CD7015">
        <w:rPr>
          <w:rFonts w:ascii="Arial" w:hAnsi="Arial" w:cs="Arial"/>
          <w:b/>
          <w:sz w:val="24"/>
          <w:szCs w:val="24"/>
        </w:rPr>
        <w:t>RKP:</w:t>
      </w:r>
      <w:r w:rsidR="00152405" w:rsidRPr="00CD7015">
        <w:rPr>
          <w:rFonts w:ascii="Arial" w:hAnsi="Arial" w:cs="Arial"/>
          <w:b/>
          <w:sz w:val="24"/>
          <w:szCs w:val="24"/>
        </w:rPr>
        <w:t xml:space="preserve"> </w:t>
      </w:r>
      <w:r w:rsidR="005E49AC" w:rsidRPr="00CD7015">
        <w:rPr>
          <w:rFonts w:ascii="Arial" w:hAnsi="Arial" w:cs="Arial"/>
          <w:b/>
          <w:sz w:val="24"/>
          <w:szCs w:val="24"/>
        </w:rPr>
        <w:t>23649</w:t>
      </w:r>
    </w:p>
    <w:p w14:paraId="27F6C24C" w14:textId="00C25A73" w:rsidR="00330C70" w:rsidRPr="00CD7015" w:rsidRDefault="00330C70" w:rsidP="00A60DB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 2810 SUZBIJANJE KORUPCIJE I OGRANIZIRANOG KRIMINALITETA</w:t>
      </w:r>
    </w:p>
    <w:p w14:paraId="36DA5DC6" w14:textId="0A08133F" w:rsidR="009214D7" w:rsidRDefault="009214D7" w:rsidP="00F915A6">
      <w:pPr>
        <w:spacing w:after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3984159" w14:textId="77777777" w:rsidR="00547329" w:rsidRDefault="00547329" w:rsidP="00F915A6">
      <w:pPr>
        <w:spacing w:after="0"/>
        <w:rPr>
          <w:rFonts w:ascii="Arial" w:hAnsi="Arial" w:cs="Arial"/>
          <w:b/>
          <w:sz w:val="24"/>
          <w:szCs w:val="24"/>
        </w:rPr>
      </w:pPr>
    </w:p>
    <w:p w14:paraId="6FAFDA6D" w14:textId="77777777" w:rsidR="00494C39" w:rsidRPr="00CD7015" w:rsidRDefault="00494C39" w:rsidP="00F915A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838" w:type="dxa"/>
        <w:tblInd w:w="93" w:type="dxa"/>
        <w:tblLook w:val="04A0" w:firstRow="1" w:lastRow="0" w:firstColumn="1" w:lastColumn="0" w:noHBand="0" w:noVBand="1"/>
      </w:tblPr>
      <w:tblGrid>
        <w:gridCol w:w="7657"/>
        <w:gridCol w:w="1092"/>
        <w:gridCol w:w="1089"/>
      </w:tblGrid>
      <w:tr w:rsidR="00FF1256" w:rsidRPr="008D439C" w14:paraId="048AA5CA" w14:textId="77777777" w:rsidTr="00FF1256">
        <w:trPr>
          <w:trHeight w:val="363"/>
        </w:trPr>
        <w:tc>
          <w:tcPr>
            <w:tcW w:w="9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3BAD" w14:textId="77777777" w:rsidR="0015073B" w:rsidRDefault="0015073B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2D6FE79" w14:textId="77777777" w:rsidR="009214D7" w:rsidRPr="008D439C" w:rsidRDefault="009214D7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56229C6" w14:textId="57024D96" w:rsidR="0015073B" w:rsidRPr="008D439C" w:rsidRDefault="00FE7547" w:rsidP="00FF125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POLU</w:t>
            </w:r>
            <w:r w:rsidR="0015073B"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GODIŠNJI IZVJEŠTAJ </w:t>
            </w:r>
            <w:r w:rsidR="00104AE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O IZVRŠENJU FINANCIJSKOG PLANA DRŽAVNOG ODVJETNIŠTVA, UREDA ZA SUZBIJANJE KORUPCIJE I ORGANIZIRANOG KRIMINALITETA </w:t>
            </w:r>
            <w:r w:rsidR="00095DEA"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ZA 2025</w:t>
            </w:r>
            <w:r w:rsidR="0015073B"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</w:p>
          <w:p w14:paraId="34999F8D" w14:textId="4BFC276B" w:rsidR="00FF1256" w:rsidRPr="008D439C" w:rsidRDefault="00FF1256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F1256" w:rsidRPr="008D439C" w14:paraId="0BF9F038" w14:textId="77777777" w:rsidTr="006A6991">
        <w:trPr>
          <w:gridAfter w:val="1"/>
          <w:wAfter w:w="1089" w:type="dxa"/>
          <w:trHeight w:val="363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763" w14:textId="76C26CC5" w:rsidR="00FF1256" w:rsidRPr="008D439C" w:rsidRDefault="00FF1256" w:rsidP="0015073B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92DC" w14:textId="7641E44B" w:rsidR="00FF1256" w:rsidRPr="008D439C" w:rsidRDefault="00FF1256" w:rsidP="00FF1256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47F0F5B4" w14:textId="3109C6E8" w:rsidR="00565504" w:rsidRPr="00104AEC" w:rsidRDefault="0015073B" w:rsidP="00565504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ab/>
      </w:r>
      <w:r w:rsidR="00104AEC" w:rsidRPr="00104AEC">
        <w:rPr>
          <w:rFonts w:ascii="Arial" w:hAnsi="Arial" w:cs="Arial"/>
          <w:sz w:val="24"/>
          <w:szCs w:val="24"/>
        </w:rPr>
        <w:t>Državno odvjetništvo, Ured za suzbijanje korupcij</w:t>
      </w:r>
      <w:r w:rsidR="00864ACB">
        <w:rPr>
          <w:rFonts w:ascii="Arial" w:hAnsi="Arial" w:cs="Arial"/>
          <w:sz w:val="24"/>
          <w:szCs w:val="24"/>
        </w:rPr>
        <w:t>e i ograniziranog kriminaliteta</w:t>
      </w:r>
      <w:r w:rsidR="00565504" w:rsidRPr="00104AEC">
        <w:rPr>
          <w:rFonts w:ascii="Arial" w:hAnsi="Arial" w:cs="Arial"/>
          <w:sz w:val="24"/>
          <w:szCs w:val="24"/>
        </w:rPr>
        <w:t xml:space="preserve"> sastavio je </w:t>
      </w:r>
      <w:r w:rsidR="00095DEA" w:rsidRPr="00104AEC">
        <w:rPr>
          <w:rFonts w:ascii="Arial" w:hAnsi="Arial" w:cs="Arial"/>
          <w:sz w:val="24"/>
          <w:szCs w:val="24"/>
        </w:rPr>
        <w:t>Polugodišnji</w:t>
      </w:r>
      <w:r w:rsidR="00565504" w:rsidRPr="00104AEC">
        <w:rPr>
          <w:rFonts w:ascii="Arial" w:hAnsi="Arial" w:cs="Arial"/>
          <w:sz w:val="24"/>
          <w:szCs w:val="24"/>
        </w:rPr>
        <w:t xml:space="preserve"> izvještaj o izvr</w:t>
      </w:r>
      <w:r w:rsidR="00FE7547" w:rsidRPr="00104AEC">
        <w:rPr>
          <w:rFonts w:ascii="Arial" w:hAnsi="Arial" w:cs="Arial"/>
          <w:sz w:val="24"/>
          <w:szCs w:val="24"/>
        </w:rPr>
        <w:t>šenju financijskog plana za 2025</w:t>
      </w:r>
      <w:r w:rsidR="00565504" w:rsidRPr="00104AEC">
        <w:rPr>
          <w:rFonts w:ascii="Arial" w:hAnsi="Arial" w:cs="Arial"/>
          <w:sz w:val="24"/>
          <w:szCs w:val="24"/>
        </w:rPr>
        <w:t>. u skladu s odredbama Pravilnika o polugodišnjem i godišnjem izvještaju o izvršenju proračuna i financijskog plana („Narodne novine“, broj 85/23</w:t>
      </w:r>
      <w:r w:rsidR="00B76510" w:rsidRPr="00104AEC">
        <w:rPr>
          <w:rFonts w:ascii="Arial" w:hAnsi="Arial" w:cs="Arial"/>
          <w:sz w:val="24"/>
          <w:szCs w:val="24"/>
        </w:rPr>
        <w:t xml:space="preserve">.). </w:t>
      </w:r>
      <w:r w:rsidR="00565504" w:rsidRPr="00104AEC">
        <w:rPr>
          <w:rFonts w:ascii="Arial" w:hAnsi="Arial" w:cs="Arial"/>
          <w:sz w:val="24"/>
          <w:szCs w:val="24"/>
        </w:rPr>
        <w:t xml:space="preserve"> </w:t>
      </w:r>
    </w:p>
    <w:p w14:paraId="79AB9E9D" w14:textId="77777777" w:rsidR="00565504" w:rsidRPr="008D439C" w:rsidRDefault="00565504" w:rsidP="00CE648D">
      <w:pPr>
        <w:rPr>
          <w:rFonts w:ascii="Arial" w:hAnsi="Arial" w:cs="Arial"/>
          <w:b/>
          <w:sz w:val="24"/>
          <w:szCs w:val="24"/>
        </w:rPr>
      </w:pPr>
    </w:p>
    <w:p w14:paraId="026B0C64" w14:textId="13735671" w:rsidR="009E3243" w:rsidRPr="001A555D" w:rsidRDefault="00CE648D" w:rsidP="001A555D">
      <w:pPr>
        <w:spacing w:after="0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 xml:space="preserve">PRIHODI </w:t>
      </w:r>
    </w:p>
    <w:tbl>
      <w:tblPr>
        <w:tblpPr w:leftFromText="180" w:rightFromText="180" w:vertAnchor="text" w:tblpY="1"/>
        <w:tblOverlap w:val="never"/>
        <w:tblW w:w="9838" w:type="dxa"/>
        <w:tblInd w:w="93" w:type="dxa"/>
        <w:tblLook w:val="04A0" w:firstRow="1" w:lastRow="0" w:firstColumn="1" w:lastColumn="0" w:noHBand="0" w:noVBand="1"/>
      </w:tblPr>
      <w:tblGrid>
        <w:gridCol w:w="8610"/>
        <w:gridCol w:w="1228"/>
      </w:tblGrid>
      <w:tr w:rsidR="00000137" w:rsidRPr="008D439C" w14:paraId="6208CA20" w14:textId="77777777" w:rsidTr="00A935A0">
        <w:trPr>
          <w:trHeight w:val="363"/>
        </w:trPr>
        <w:tc>
          <w:tcPr>
            <w:tcW w:w="7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08CF" w14:textId="77777777" w:rsidR="00000137" w:rsidRPr="008D439C" w:rsidRDefault="00000137" w:rsidP="00A935A0">
            <w:pPr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F6B2" w14:textId="77777777" w:rsidR="00000137" w:rsidRPr="008D439C" w:rsidRDefault="00000137" w:rsidP="00A935A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D43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</w:tr>
    </w:tbl>
    <w:p w14:paraId="706B32AB" w14:textId="116B585C" w:rsidR="00906D36" w:rsidRPr="008D439C" w:rsidRDefault="00000137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104AEC">
        <w:rPr>
          <w:rFonts w:ascii="Arial" w:hAnsi="Arial" w:cs="Arial"/>
          <w:sz w:val="24"/>
          <w:szCs w:val="24"/>
        </w:rPr>
        <w:t>Državno odvjetništvo, Ured za suzbijanje korupcij</w:t>
      </w:r>
      <w:r>
        <w:rPr>
          <w:rFonts w:ascii="Arial" w:hAnsi="Arial" w:cs="Arial"/>
          <w:sz w:val="24"/>
          <w:szCs w:val="24"/>
        </w:rPr>
        <w:t xml:space="preserve">e i ograniziranog kriminaliteta </w:t>
      </w:r>
      <w:r w:rsidR="00645B8E" w:rsidRPr="008D439C">
        <w:rPr>
          <w:rFonts w:ascii="Arial" w:hAnsi="Arial" w:cs="Arial"/>
          <w:sz w:val="24"/>
          <w:szCs w:val="24"/>
        </w:rPr>
        <w:t>je</w:t>
      </w:r>
      <w:r w:rsidR="00AA5908" w:rsidRPr="008D439C">
        <w:rPr>
          <w:rFonts w:ascii="Arial" w:hAnsi="Arial" w:cs="Arial"/>
          <w:sz w:val="24"/>
          <w:szCs w:val="24"/>
        </w:rPr>
        <w:t xml:space="preserve"> u 2025</w:t>
      </w:r>
      <w:r w:rsidR="00120DC9" w:rsidRPr="008D439C">
        <w:rPr>
          <w:rFonts w:ascii="Arial" w:hAnsi="Arial" w:cs="Arial"/>
          <w:sz w:val="24"/>
          <w:szCs w:val="24"/>
        </w:rPr>
        <w:t xml:space="preserve">. godini </w:t>
      </w:r>
      <w:r w:rsidR="00EC24C5" w:rsidRPr="008D439C">
        <w:rPr>
          <w:rFonts w:ascii="Arial" w:hAnsi="Arial" w:cs="Arial"/>
          <w:sz w:val="24"/>
          <w:szCs w:val="24"/>
        </w:rPr>
        <w:t>planirao ukupno</w:t>
      </w:r>
      <w:r w:rsidR="00FF252D" w:rsidRPr="008D439C">
        <w:rPr>
          <w:rFonts w:ascii="Arial" w:hAnsi="Arial" w:cs="Arial"/>
          <w:sz w:val="24"/>
          <w:szCs w:val="24"/>
        </w:rPr>
        <w:t xml:space="preserve"> prihoda u izvornom planu u iznosu </w:t>
      </w:r>
      <w:r w:rsidR="00456E66">
        <w:rPr>
          <w:rFonts w:ascii="Arial" w:hAnsi="Arial" w:cs="Arial"/>
          <w:sz w:val="24"/>
          <w:szCs w:val="24"/>
        </w:rPr>
        <w:t>6.035.483,00</w:t>
      </w:r>
      <w:r w:rsidR="00E73528" w:rsidRPr="008D439C">
        <w:rPr>
          <w:rFonts w:ascii="Arial" w:hAnsi="Arial" w:cs="Arial"/>
          <w:sz w:val="24"/>
          <w:szCs w:val="24"/>
        </w:rPr>
        <w:t xml:space="preserve"> eura</w:t>
      </w:r>
      <w:r w:rsidR="00A537FA" w:rsidRPr="008D439C">
        <w:rPr>
          <w:rFonts w:ascii="Arial" w:hAnsi="Arial" w:cs="Arial"/>
          <w:sz w:val="24"/>
          <w:szCs w:val="24"/>
        </w:rPr>
        <w:t>.</w:t>
      </w:r>
    </w:p>
    <w:p w14:paraId="565B0A72" w14:textId="331DA2A2" w:rsidR="007A193E" w:rsidRDefault="00F31291">
      <w:pPr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Planirani ukupni prihodi u izvornom planu</w:t>
      </w:r>
      <w:r w:rsidR="00D32856" w:rsidRPr="008D439C">
        <w:rPr>
          <w:rFonts w:ascii="Arial" w:hAnsi="Arial" w:cs="Arial"/>
          <w:sz w:val="24"/>
          <w:szCs w:val="24"/>
        </w:rPr>
        <w:t xml:space="preserve"> </w:t>
      </w:r>
      <w:r w:rsidR="00C95F67" w:rsidRPr="008D439C">
        <w:rPr>
          <w:rFonts w:ascii="Arial" w:hAnsi="Arial" w:cs="Arial"/>
          <w:sz w:val="24"/>
          <w:szCs w:val="24"/>
        </w:rPr>
        <w:t>sastoje</w:t>
      </w:r>
      <w:r w:rsidRPr="008D439C">
        <w:rPr>
          <w:rFonts w:ascii="Arial" w:hAnsi="Arial" w:cs="Arial"/>
          <w:sz w:val="24"/>
          <w:szCs w:val="24"/>
        </w:rPr>
        <w:t xml:space="preserve"> se od</w:t>
      </w:r>
      <w:r w:rsidR="008A3ED1" w:rsidRPr="008D439C">
        <w:rPr>
          <w:rFonts w:ascii="Arial" w:hAnsi="Arial" w:cs="Arial"/>
          <w:sz w:val="24"/>
          <w:szCs w:val="24"/>
        </w:rPr>
        <w:t xml:space="preserve"> općih pihoda i primitaka</w:t>
      </w:r>
      <w:r w:rsidR="00F94DF9">
        <w:rPr>
          <w:rFonts w:ascii="Arial" w:hAnsi="Arial" w:cs="Arial"/>
          <w:sz w:val="24"/>
          <w:szCs w:val="24"/>
        </w:rPr>
        <w:t xml:space="preserve"> iz proračuna</w:t>
      </w:r>
      <w:r w:rsidR="008A3ED1" w:rsidRPr="008D439C">
        <w:rPr>
          <w:rFonts w:ascii="Arial" w:hAnsi="Arial" w:cs="Arial"/>
          <w:sz w:val="24"/>
          <w:szCs w:val="24"/>
        </w:rPr>
        <w:t xml:space="preserve"> (izvor 11</w:t>
      </w:r>
      <w:r w:rsidR="00F94DF9">
        <w:rPr>
          <w:rFonts w:ascii="Arial" w:hAnsi="Arial" w:cs="Arial"/>
          <w:sz w:val="24"/>
          <w:szCs w:val="24"/>
        </w:rPr>
        <w:t>) u iznosu od 6.014.483,00 eura</w:t>
      </w:r>
      <w:r w:rsidR="007A193E">
        <w:rPr>
          <w:rFonts w:ascii="Arial" w:hAnsi="Arial" w:cs="Arial"/>
          <w:sz w:val="24"/>
          <w:szCs w:val="24"/>
        </w:rPr>
        <w:t xml:space="preserve">, </w:t>
      </w:r>
      <w:r w:rsidR="00F94DF9">
        <w:rPr>
          <w:rFonts w:ascii="Arial" w:hAnsi="Arial" w:cs="Arial"/>
          <w:sz w:val="24"/>
          <w:szCs w:val="24"/>
        </w:rPr>
        <w:t>vlastitih prihoda (</w:t>
      </w:r>
      <w:r w:rsidR="007A193E">
        <w:rPr>
          <w:rFonts w:ascii="Arial" w:hAnsi="Arial" w:cs="Arial"/>
          <w:sz w:val="24"/>
          <w:szCs w:val="24"/>
        </w:rPr>
        <w:t>izvor 31</w:t>
      </w:r>
      <w:r w:rsidR="00F94DF9">
        <w:rPr>
          <w:rFonts w:ascii="Arial" w:hAnsi="Arial" w:cs="Arial"/>
          <w:sz w:val="24"/>
          <w:szCs w:val="24"/>
        </w:rPr>
        <w:t>) u iznosu od 17.000,00 eura i pomoći EU (</w:t>
      </w:r>
      <w:r w:rsidR="007A193E">
        <w:rPr>
          <w:rFonts w:ascii="Arial" w:hAnsi="Arial" w:cs="Arial"/>
          <w:sz w:val="24"/>
          <w:szCs w:val="24"/>
        </w:rPr>
        <w:t>izvor 51</w:t>
      </w:r>
      <w:r w:rsidR="008A3ED1" w:rsidRPr="008D439C">
        <w:rPr>
          <w:rFonts w:ascii="Arial" w:hAnsi="Arial" w:cs="Arial"/>
          <w:sz w:val="24"/>
          <w:szCs w:val="24"/>
        </w:rPr>
        <w:t>)</w:t>
      </w:r>
      <w:r w:rsidR="00F94DF9">
        <w:rPr>
          <w:rFonts w:ascii="Arial" w:hAnsi="Arial" w:cs="Arial"/>
          <w:sz w:val="24"/>
          <w:szCs w:val="24"/>
        </w:rPr>
        <w:t xml:space="preserve"> u iznosu od 4.000,00 eura </w:t>
      </w:r>
      <w:r w:rsidR="008A3ED1" w:rsidRPr="008D439C">
        <w:rPr>
          <w:rFonts w:ascii="Arial" w:hAnsi="Arial" w:cs="Arial"/>
          <w:sz w:val="24"/>
          <w:szCs w:val="24"/>
        </w:rPr>
        <w:t xml:space="preserve">za </w:t>
      </w:r>
      <w:r w:rsidR="007A193E">
        <w:rPr>
          <w:rFonts w:ascii="Arial" w:hAnsi="Arial" w:cs="Arial"/>
          <w:sz w:val="24"/>
          <w:szCs w:val="24"/>
        </w:rPr>
        <w:t>financiranje aktivnosti A67800</w:t>
      </w:r>
      <w:r w:rsidR="00653A91">
        <w:rPr>
          <w:rFonts w:ascii="Arial" w:hAnsi="Arial" w:cs="Arial"/>
          <w:sz w:val="24"/>
          <w:szCs w:val="24"/>
        </w:rPr>
        <w:t>0</w:t>
      </w:r>
      <w:r w:rsidR="007A193E">
        <w:rPr>
          <w:rFonts w:ascii="Arial" w:hAnsi="Arial" w:cs="Arial"/>
          <w:sz w:val="24"/>
          <w:szCs w:val="24"/>
        </w:rPr>
        <w:t xml:space="preserve"> Suzbijanje korupcije i organiziranog kriminaliteta, A678008 Međunarodna suradnja na suzbijanju organiziranog kriminaliteta i A678010 Djelatnost Odjela dele</w:t>
      </w:r>
      <w:r w:rsidR="00B53CA2">
        <w:rPr>
          <w:rFonts w:ascii="Arial" w:hAnsi="Arial" w:cs="Arial"/>
          <w:sz w:val="24"/>
          <w:szCs w:val="24"/>
        </w:rPr>
        <w:t>giranih europskih tužitelja.</w:t>
      </w:r>
    </w:p>
    <w:p w14:paraId="4C0FCD7D" w14:textId="77777777" w:rsidR="00EC24C5" w:rsidRPr="008D439C" w:rsidRDefault="00EC24C5">
      <w:pPr>
        <w:rPr>
          <w:rFonts w:ascii="Arial" w:hAnsi="Arial" w:cs="Arial"/>
          <w:sz w:val="24"/>
          <w:szCs w:val="24"/>
        </w:rPr>
      </w:pPr>
    </w:p>
    <w:p w14:paraId="2A9472FB" w14:textId="39BBE925" w:rsidR="009E3243" w:rsidRPr="008D439C" w:rsidRDefault="0095662D" w:rsidP="00A37E5B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 xml:space="preserve">RASHODI </w:t>
      </w:r>
    </w:p>
    <w:p w14:paraId="03BDF8AE" w14:textId="77777777" w:rsidR="006762C8" w:rsidRPr="008D439C" w:rsidRDefault="006762C8" w:rsidP="00865EBA">
      <w:pPr>
        <w:spacing w:after="0"/>
        <w:rPr>
          <w:rFonts w:ascii="Arial" w:hAnsi="Arial" w:cs="Arial"/>
          <w:sz w:val="24"/>
          <w:szCs w:val="24"/>
        </w:rPr>
      </w:pPr>
    </w:p>
    <w:p w14:paraId="539FD139" w14:textId="5A4B91CA" w:rsidR="00AC4827" w:rsidRPr="008D439C" w:rsidRDefault="00AC4827" w:rsidP="001C2064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Ukupni rashodi</w:t>
      </w:r>
      <w:r w:rsidR="003D1902" w:rsidRPr="008D439C">
        <w:rPr>
          <w:rFonts w:ascii="Arial" w:hAnsi="Arial" w:cs="Arial"/>
          <w:sz w:val="24"/>
          <w:szCs w:val="24"/>
        </w:rPr>
        <w:t xml:space="preserve"> </w:t>
      </w:r>
      <w:r w:rsidRPr="008D439C">
        <w:rPr>
          <w:rFonts w:ascii="Arial" w:hAnsi="Arial" w:cs="Arial"/>
          <w:sz w:val="24"/>
          <w:szCs w:val="24"/>
        </w:rPr>
        <w:t xml:space="preserve">i izdaci </w:t>
      </w:r>
      <w:r w:rsidR="001C2064" w:rsidRPr="00104AEC">
        <w:rPr>
          <w:rFonts w:ascii="Arial" w:hAnsi="Arial" w:cs="Arial"/>
          <w:sz w:val="24"/>
          <w:szCs w:val="24"/>
        </w:rPr>
        <w:t>Državno</w:t>
      </w:r>
      <w:r w:rsidR="001C2064">
        <w:rPr>
          <w:rFonts w:ascii="Arial" w:hAnsi="Arial" w:cs="Arial"/>
          <w:sz w:val="24"/>
          <w:szCs w:val="24"/>
        </w:rPr>
        <w:t>g odvjetništva</w:t>
      </w:r>
      <w:r w:rsidR="001C2064" w:rsidRPr="00104AEC">
        <w:rPr>
          <w:rFonts w:ascii="Arial" w:hAnsi="Arial" w:cs="Arial"/>
          <w:sz w:val="24"/>
          <w:szCs w:val="24"/>
        </w:rPr>
        <w:t>, Ured</w:t>
      </w:r>
      <w:r w:rsidR="001C2064">
        <w:rPr>
          <w:rFonts w:ascii="Arial" w:hAnsi="Arial" w:cs="Arial"/>
          <w:sz w:val="24"/>
          <w:szCs w:val="24"/>
        </w:rPr>
        <w:t>a</w:t>
      </w:r>
      <w:r w:rsidR="001C2064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1C2064">
        <w:rPr>
          <w:rFonts w:ascii="Arial" w:hAnsi="Arial" w:cs="Arial"/>
          <w:sz w:val="24"/>
          <w:szCs w:val="24"/>
        </w:rPr>
        <w:t>e i ograniziranog kriminaliteta</w:t>
      </w:r>
      <w:r w:rsidR="00C303BC" w:rsidRPr="008D439C">
        <w:rPr>
          <w:rFonts w:ascii="Arial" w:hAnsi="Arial" w:cs="Arial"/>
          <w:sz w:val="24"/>
          <w:szCs w:val="24"/>
        </w:rPr>
        <w:t xml:space="preserve"> izvršeni</w:t>
      </w:r>
      <w:r w:rsidR="00EA2908" w:rsidRPr="008D439C">
        <w:rPr>
          <w:rFonts w:ascii="Arial" w:hAnsi="Arial" w:cs="Arial"/>
          <w:sz w:val="24"/>
          <w:szCs w:val="24"/>
        </w:rPr>
        <w:t xml:space="preserve"> u</w:t>
      </w:r>
      <w:r w:rsidR="00CD0460" w:rsidRPr="008D439C">
        <w:rPr>
          <w:rFonts w:ascii="Arial" w:hAnsi="Arial" w:cs="Arial"/>
          <w:sz w:val="24"/>
          <w:szCs w:val="24"/>
        </w:rPr>
        <w:t xml:space="preserve"> prvom polugodištu 2025. </w:t>
      </w:r>
      <w:r w:rsidR="00EA2908" w:rsidRPr="008D439C">
        <w:rPr>
          <w:rFonts w:ascii="Arial" w:hAnsi="Arial" w:cs="Arial"/>
          <w:sz w:val="24"/>
          <w:szCs w:val="24"/>
        </w:rPr>
        <w:t xml:space="preserve"> </w:t>
      </w:r>
      <w:r w:rsidR="00585AE3" w:rsidRPr="008D439C">
        <w:rPr>
          <w:rFonts w:ascii="Arial" w:hAnsi="Arial" w:cs="Arial"/>
          <w:sz w:val="24"/>
          <w:szCs w:val="24"/>
        </w:rPr>
        <w:t>iznose</w:t>
      </w:r>
      <w:r w:rsidR="003A4F39" w:rsidRPr="008D439C">
        <w:rPr>
          <w:rFonts w:ascii="Arial" w:hAnsi="Arial" w:cs="Arial"/>
          <w:sz w:val="24"/>
          <w:szCs w:val="24"/>
        </w:rPr>
        <w:t xml:space="preserve"> </w:t>
      </w:r>
      <w:r w:rsidR="00E505E1">
        <w:rPr>
          <w:rFonts w:ascii="Arial" w:hAnsi="Arial" w:cs="Arial"/>
          <w:sz w:val="24"/>
          <w:szCs w:val="24"/>
        </w:rPr>
        <w:t xml:space="preserve"> 2.776.602,62 </w:t>
      </w:r>
      <w:r w:rsidR="00A41246" w:rsidRPr="008D439C">
        <w:rPr>
          <w:rFonts w:ascii="Arial" w:hAnsi="Arial" w:cs="Arial"/>
          <w:sz w:val="24"/>
          <w:szCs w:val="24"/>
        </w:rPr>
        <w:t>eura.</w:t>
      </w:r>
    </w:p>
    <w:p w14:paraId="352A4E53" w14:textId="77777777" w:rsidR="00AC4827" w:rsidRPr="008D439C" w:rsidRDefault="00AC4827" w:rsidP="00865EBA">
      <w:pPr>
        <w:spacing w:after="0"/>
        <w:rPr>
          <w:rFonts w:ascii="Arial" w:hAnsi="Arial" w:cs="Arial"/>
          <w:sz w:val="24"/>
          <w:szCs w:val="24"/>
        </w:rPr>
      </w:pPr>
    </w:p>
    <w:p w14:paraId="7B8387D1" w14:textId="0ECA7E1A" w:rsidR="00EA1BBF" w:rsidRPr="008D439C" w:rsidRDefault="002730ED" w:rsidP="00046C29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U odnosu na plani</w:t>
      </w:r>
      <w:r w:rsidR="003A4059" w:rsidRPr="008D439C">
        <w:rPr>
          <w:rFonts w:ascii="Arial" w:hAnsi="Arial" w:cs="Arial"/>
          <w:sz w:val="24"/>
          <w:szCs w:val="24"/>
        </w:rPr>
        <w:t>ra</w:t>
      </w:r>
      <w:r w:rsidR="00D51775" w:rsidRPr="008D439C">
        <w:rPr>
          <w:rFonts w:ascii="Arial" w:hAnsi="Arial" w:cs="Arial"/>
          <w:sz w:val="24"/>
          <w:szCs w:val="24"/>
        </w:rPr>
        <w:t>ne rashode</w:t>
      </w:r>
      <w:r w:rsidR="006D22D5" w:rsidRPr="008D439C">
        <w:rPr>
          <w:rFonts w:ascii="Arial" w:hAnsi="Arial" w:cs="Arial"/>
          <w:sz w:val="24"/>
          <w:szCs w:val="24"/>
        </w:rPr>
        <w:t xml:space="preserve"> i izdatke</w:t>
      </w:r>
      <w:r w:rsidR="00361C39" w:rsidRPr="008D439C">
        <w:rPr>
          <w:rFonts w:ascii="Arial" w:hAnsi="Arial" w:cs="Arial"/>
          <w:sz w:val="24"/>
          <w:szCs w:val="24"/>
        </w:rPr>
        <w:t>,</w:t>
      </w:r>
      <w:r w:rsidRPr="008D439C">
        <w:rPr>
          <w:rFonts w:ascii="Arial" w:hAnsi="Arial" w:cs="Arial"/>
          <w:sz w:val="24"/>
          <w:szCs w:val="24"/>
        </w:rPr>
        <w:t xml:space="preserve"> izvršenje </w:t>
      </w:r>
      <w:r w:rsidR="00046C29">
        <w:rPr>
          <w:rFonts w:ascii="Arial" w:hAnsi="Arial" w:cs="Arial"/>
          <w:sz w:val="24"/>
          <w:szCs w:val="24"/>
        </w:rPr>
        <w:t>financijskog plana</w:t>
      </w:r>
      <w:r w:rsidR="003A4059" w:rsidRPr="008D439C">
        <w:rPr>
          <w:rFonts w:ascii="Arial" w:hAnsi="Arial" w:cs="Arial"/>
          <w:sz w:val="24"/>
          <w:szCs w:val="24"/>
        </w:rPr>
        <w:t xml:space="preserve"> </w:t>
      </w:r>
      <w:r w:rsidR="00046C29" w:rsidRPr="00104AEC">
        <w:rPr>
          <w:rFonts w:ascii="Arial" w:hAnsi="Arial" w:cs="Arial"/>
          <w:sz w:val="24"/>
          <w:szCs w:val="24"/>
        </w:rPr>
        <w:t>Državno</w:t>
      </w:r>
      <w:r w:rsidR="00046C29">
        <w:rPr>
          <w:rFonts w:ascii="Arial" w:hAnsi="Arial" w:cs="Arial"/>
          <w:sz w:val="24"/>
          <w:szCs w:val="24"/>
        </w:rPr>
        <w:t>g odvjetništva</w:t>
      </w:r>
      <w:r w:rsidR="00046C29" w:rsidRPr="00104AEC">
        <w:rPr>
          <w:rFonts w:ascii="Arial" w:hAnsi="Arial" w:cs="Arial"/>
          <w:sz w:val="24"/>
          <w:szCs w:val="24"/>
        </w:rPr>
        <w:t>, Ured</w:t>
      </w:r>
      <w:r w:rsidR="00046C29">
        <w:rPr>
          <w:rFonts w:ascii="Arial" w:hAnsi="Arial" w:cs="Arial"/>
          <w:sz w:val="24"/>
          <w:szCs w:val="24"/>
        </w:rPr>
        <w:t>a</w:t>
      </w:r>
      <w:r w:rsidR="00046C29" w:rsidRPr="00104AEC">
        <w:rPr>
          <w:rFonts w:ascii="Arial" w:hAnsi="Arial" w:cs="Arial"/>
          <w:sz w:val="24"/>
          <w:szCs w:val="24"/>
        </w:rPr>
        <w:t xml:space="preserve"> za suzbijanje</w:t>
      </w:r>
      <w:r w:rsidR="00046C29">
        <w:rPr>
          <w:rFonts w:ascii="Arial" w:hAnsi="Arial" w:cs="Arial"/>
          <w:sz w:val="24"/>
          <w:szCs w:val="24"/>
        </w:rPr>
        <w:t xml:space="preserve"> korupcije i organiziranog kriminaliteta </w:t>
      </w:r>
      <w:r w:rsidR="00CD0460" w:rsidRPr="008D439C">
        <w:rPr>
          <w:rFonts w:ascii="Arial" w:hAnsi="Arial" w:cs="Arial"/>
          <w:sz w:val="24"/>
          <w:szCs w:val="24"/>
        </w:rPr>
        <w:t xml:space="preserve">u prvom polugodištu 2025. </w:t>
      </w:r>
      <w:r w:rsidR="00031BE0">
        <w:rPr>
          <w:rFonts w:ascii="Arial" w:hAnsi="Arial" w:cs="Arial"/>
          <w:sz w:val="24"/>
          <w:szCs w:val="24"/>
        </w:rPr>
        <w:t>iznosi 46</w:t>
      </w:r>
      <w:r w:rsidR="00FB0F2A" w:rsidRPr="008D439C">
        <w:rPr>
          <w:rFonts w:ascii="Arial" w:hAnsi="Arial" w:cs="Arial"/>
          <w:sz w:val="24"/>
          <w:szCs w:val="24"/>
        </w:rPr>
        <w:t xml:space="preserve"> </w:t>
      </w:r>
      <w:r w:rsidR="00A33B89" w:rsidRPr="008D439C">
        <w:rPr>
          <w:rFonts w:ascii="Arial" w:hAnsi="Arial" w:cs="Arial"/>
          <w:sz w:val="24"/>
          <w:szCs w:val="24"/>
        </w:rPr>
        <w:t xml:space="preserve">% </w:t>
      </w:r>
      <w:r w:rsidR="00FB0F2A" w:rsidRPr="008D439C">
        <w:rPr>
          <w:rFonts w:ascii="Arial" w:hAnsi="Arial" w:cs="Arial"/>
          <w:sz w:val="24"/>
          <w:szCs w:val="24"/>
        </w:rPr>
        <w:t xml:space="preserve"> tekućeg odnosno izvorno</w:t>
      </w:r>
      <w:r w:rsidR="00161B1A">
        <w:rPr>
          <w:rFonts w:ascii="Arial" w:hAnsi="Arial" w:cs="Arial"/>
          <w:sz w:val="24"/>
          <w:szCs w:val="24"/>
        </w:rPr>
        <w:t>g</w:t>
      </w:r>
      <w:r w:rsidR="00FB0F2A" w:rsidRPr="008D439C">
        <w:rPr>
          <w:rFonts w:ascii="Arial" w:hAnsi="Arial" w:cs="Arial"/>
          <w:sz w:val="24"/>
          <w:szCs w:val="24"/>
        </w:rPr>
        <w:t xml:space="preserve"> </w:t>
      </w:r>
      <w:r w:rsidR="00B85766" w:rsidRPr="008D439C">
        <w:rPr>
          <w:rFonts w:ascii="Arial" w:hAnsi="Arial" w:cs="Arial"/>
          <w:sz w:val="24"/>
          <w:szCs w:val="24"/>
        </w:rPr>
        <w:t xml:space="preserve">plana </w:t>
      </w:r>
      <w:r w:rsidR="006D22D5" w:rsidRPr="008D439C">
        <w:rPr>
          <w:rFonts w:ascii="Arial" w:hAnsi="Arial" w:cs="Arial"/>
          <w:sz w:val="24"/>
          <w:szCs w:val="24"/>
        </w:rPr>
        <w:t>za 2025</w:t>
      </w:r>
      <w:r w:rsidR="00A33B89" w:rsidRPr="008D439C">
        <w:rPr>
          <w:rFonts w:ascii="Arial" w:hAnsi="Arial" w:cs="Arial"/>
          <w:sz w:val="24"/>
          <w:szCs w:val="24"/>
        </w:rPr>
        <w:t>. godinu.</w:t>
      </w:r>
      <w:r w:rsidR="008C3182" w:rsidRPr="008D439C">
        <w:rPr>
          <w:rFonts w:ascii="Arial" w:hAnsi="Arial" w:cs="Arial"/>
          <w:sz w:val="24"/>
          <w:szCs w:val="24"/>
        </w:rPr>
        <w:t xml:space="preserve"> </w:t>
      </w:r>
    </w:p>
    <w:p w14:paraId="26F28038" w14:textId="4C805310" w:rsidR="007A4942" w:rsidRPr="008D439C" w:rsidRDefault="007A4942" w:rsidP="00865EBA">
      <w:pPr>
        <w:spacing w:after="0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Najveći dio </w:t>
      </w:r>
      <w:r w:rsidR="00050757" w:rsidRPr="008D439C">
        <w:rPr>
          <w:rFonts w:ascii="Arial" w:hAnsi="Arial" w:cs="Arial"/>
          <w:sz w:val="24"/>
          <w:szCs w:val="24"/>
        </w:rPr>
        <w:t xml:space="preserve">izvršenih rashoda </w:t>
      </w:r>
      <w:r w:rsidRPr="008D439C">
        <w:rPr>
          <w:rFonts w:ascii="Arial" w:hAnsi="Arial" w:cs="Arial"/>
          <w:sz w:val="24"/>
          <w:szCs w:val="24"/>
        </w:rPr>
        <w:t>o</w:t>
      </w:r>
      <w:r w:rsidR="006B47B6" w:rsidRPr="008D439C">
        <w:rPr>
          <w:rFonts w:ascii="Arial" w:hAnsi="Arial" w:cs="Arial"/>
          <w:sz w:val="24"/>
          <w:szCs w:val="24"/>
        </w:rPr>
        <w:t>dnosi se na rashode za plaće</w:t>
      </w:r>
      <w:r w:rsidR="00EA1BBF" w:rsidRPr="008D439C">
        <w:rPr>
          <w:rFonts w:ascii="Arial" w:hAnsi="Arial" w:cs="Arial"/>
          <w:sz w:val="24"/>
          <w:szCs w:val="24"/>
        </w:rPr>
        <w:t xml:space="preserve">, </w:t>
      </w:r>
      <w:r w:rsidR="006B47B6" w:rsidRPr="008D439C">
        <w:rPr>
          <w:rFonts w:ascii="Arial" w:hAnsi="Arial" w:cs="Arial"/>
          <w:sz w:val="24"/>
          <w:szCs w:val="24"/>
        </w:rPr>
        <w:t>ostale rashode za zaposlene</w:t>
      </w:r>
      <w:r w:rsidR="00152AF0" w:rsidRPr="008D439C">
        <w:rPr>
          <w:rFonts w:ascii="Arial" w:hAnsi="Arial" w:cs="Arial"/>
          <w:sz w:val="24"/>
          <w:szCs w:val="24"/>
        </w:rPr>
        <w:t xml:space="preserve">, </w:t>
      </w:r>
      <w:r w:rsidR="00030B1C">
        <w:rPr>
          <w:rFonts w:ascii="Arial" w:hAnsi="Arial" w:cs="Arial"/>
          <w:sz w:val="24"/>
          <w:szCs w:val="24"/>
        </w:rPr>
        <w:t xml:space="preserve">materijalne rashode, </w:t>
      </w:r>
      <w:r w:rsidR="00152AF0" w:rsidRPr="008D439C">
        <w:rPr>
          <w:rFonts w:ascii="Arial" w:hAnsi="Arial" w:cs="Arial"/>
          <w:sz w:val="24"/>
          <w:szCs w:val="24"/>
        </w:rPr>
        <w:t xml:space="preserve">financijske rashode i rashode </w:t>
      </w:r>
      <w:r w:rsidR="00A96742" w:rsidRPr="008D439C">
        <w:rPr>
          <w:rFonts w:ascii="Arial" w:hAnsi="Arial" w:cs="Arial"/>
          <w:sz w:val="24"/>
          <w:szCs w:val="24"/>
        </w:rPr>
        <w:t xml:space="preserve">za </w:t>
      </w:r>
      <w:r w:rsidR="00030B1C">
        <w:rPr>
          <w:rFonts w:ascii="Arial" w:hAnsi="Arial" w:cs="Arial"/>
          <w:sz w:val="24"/>
          <w:szCs w:val="24"/>
        </w:rPr>
        <w:t xml:space="preserve">nabavu nefinancijske imovine (uredska oprema i namještaj, oprema za održavanje i zaštitu i </w:t>
      </w:r>
      <w:r w:rsidR="00A05344" w:rsidRPr="008D439C">
        <w:rPr>
          <w:rFonts w:ascii="Arial" w:hAnsi="Arial" w:cs="Arial"/>
          <w:sz w:val="24"/>
          <w:szCs w:val="24"/>
        </w:rPr>
        <w:t>prijevozna sredstva</w:t>
      </w:r>
      <w:r w:rsidR="00A96742" w:rsidRPr="008D439C">
        <w:rPr>
          <w:rFonts w:ascii="Arial" w:hAnsi="Arial" w:cs="Arial"/>
          <w:sz w:val="24"/>
          <w:szCs w:val="24"/>
        </w:rPr>
        <w:t>, odnosno za</w:t>
      </w:r>
      <w:r w:rsidR="00152AF0" w:rsidRPr="008D439C">
        <w:rPr>
          <w:rFonts w:ascii="Arial" w:hAnsi="Arial" w:cs="Arial"/>
          <w:sz w:val="24"/>
          <w:szCs w:val="24"/>
        </w:rPr>
        <w:t xml:space="preserve"> </w:t>
      </w:r>
      <w:r w:rsidR="00A96742" w:rsidRPr="008D439C">
        <w:rPr>
          <w:rFonts w:ascii="Arial" w:hAnsi="Arial" w:cs="Arial"/>
          <w:sz w:val="24"/>
          <w:szCs w:val="24"/>
        </w:rPr>
        <w:t xml:space="preserve">otplatu zajma za financijski leasing za </w:t>
      </w:r>
      <w:r w:rsidR="00030B1C">
        <w:rPr>
          <w:rFonts w:ascii="Arial" w:hAnsi="Arial" w:cs="Arial"/>
          <w:sz w:val="24"/>
          <w:szCs w:val="24"/>
        </w:rPr>
        <w:t>više službenih</w:t>
      </w:r>
      <w:r w:rsidR="00A96742" w:rsidRPr="008D439C">
        <w:rPr>
          <w:rFonts w:ascii="Arial" w:hAnsi="Arial" w:cs="Arial"/>
          <w:sz w:val="24"/>
          <w:szCs w:val="24"/>
        </w:rPr>
        <w:t xml:space="preserve"> vozila sukladno provedenom postupku javne nabave </w:t>
      </w:r>
      <w:r w:rsidR="00030B1C">
        <w:rPr>
          <w:rFonts w:ascii="Arial" w:hAnsi="Arial" w:cs="Arial"/>
          <w:sz w:val="24"/>
          <w:szCs w:val="24"/>
        </w:rPr>
        <w:t>iz prethodnih godina.</w:t>
      </w:r>
    </w:p>
    <w:p w14:paraId="190F8EB4" w14:textId="77777777" w:rsidR="00374A33" w:rsidRPr="008D439C" w:rsidRDefault="00374A33" w:rsidP="00EB18D7">
      <w:pPr>
        <w:jc w:val="left"/>
        <w:rPr>
          <w:rFonts w:ascii="Arial" w:hAnsi="Arial" w:cs="Arial"/>
          <w:b/>
          <w:sz w:val="24"/>
          <w:szCs w:val="24"/>
        </w:rPr>
      </w:pPr>
    </w:p>
    <w:p w14:paraId="78A892EB" w14:textId="07581F27" w:rsidR="001A3F9F" w:rsidRPr="008D439C" w:rsidRDefault="00C47B16" w:rsidP="001750BB">
      <w:pPr>
        <w:spacing w:after="0"/>
        <w:ind w:firstLine="709"/>
        <w:jc w:val="left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lastRenderedPageBreak/>
        <w:t xml:space="preserve">PRIHODI </w:t>
      </w:r>
      <w:r w:rsidR="005E3EA0" w:rsidRPr="008D439C">
        <w:rPr>
          <w:rFonts w:ascii="Arial" w:hAnsi="Arial" w:cs="Arial"/>
          <w:b/>
          <w:sz w:val="24"/>
          <w:szCs w:val="24"/>
        </w:rPr>
        <w:t xml:space="preserve"> POSLOVANJA PO EKONOMSKOJ </w:t>
      </w:r>
      <w:r w:rsidR="00931C13" w:rsidRPr="008D439C">
        <w:rPr>
          <w:rFonts w:ascii="Arial" w:hAnsi="Arial" w:cs="Arial"/>
          <w:b/>
          <w:sz w:val="24"/>
          <w:szCs w:val="24"/>
        </w:rPr>
        <w:t>KLASIFIKACIJI</w:t>
      </w:r>
    </w:p>
    <w:p w14:paraId="0473E3CD" w14:textId="77777777" w:rsidR="00414397" w:rsidRPr="008D439C" w:rsidRDefault="00414397" w:rsidP="00414397">
      <w:pPr>
        <w:spacing w:after="0"/>
        <w:jc w:val="left"/>
        <w:rPr>
          <w:rFonts w:ascii="Arial" w:hAnsi="Arial" w:cs="Arial"/>
          <w:b/>
          <w:sz w:val="24"/>
          <w:szCs w:val="24"/>
        </w:rPr>
      </w:pPr>
    </w:p>
    <w:p w14:paraId="2F6A00F5" w14:textId="685F7EF8" w:rsidR="00432CD7" w:rsidRPr="008D439C" w:rsidRDefault="0090335A" w:rsidP="00567167">
      <w:pPr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Pl</w:t>
      </w:r>
      <w:r w:rsidR="001C7E60" w:rsidRPr="008D439C">
        <w:rPr>
          <w:rFonts w:ascii="Arial" w:hAnsi="Arial" w:cs="Arial"/>
          <w:sz w:val="24"/>
          <w:szCs w:val="24"/>
        </w:rPr>
        <w:t>anirani prihodi</w:t>
      </w:r>
      <w:r w:rsidR="00330E49" w:rsidRPr="008D439C">
        <w:rPr>
          <w:rFonts w:ascii="Arial" w:hAnsi="Arial" w:cs="Arial"/>
          <w:sz w:val="24"/>
          <w:szCs w:val="24"/>
        </w:rPr>
        <w:t xml:space="preserve"> u 2025</w:t>
      </w:r>
      <w:r w:rsidRPr="008D439C">
        <w:rPr>
          <w:rFonts w:ascii="Arial" w:hAnsi="Arial" w:cs="Arial"/>
          <w:sz w:val="24"/>
          <w:szCs w:val="24"/>
        </w:rPr>
        <w:t xml:space="preserve">. godini iznose </w:t>
      </w:r>
      <w:r w:rsidR="00CA7824">
        <w:rPr>
          <w:rFonts w:ascii="Arial" w:hAnsi="Arial" w:cs="Arial"/>
          <w:sz w:val="24"/>
          <w:szCs w:val="24"/>
        </w:rPr>
        <w:t>6.035.483,00</w:t>
      </w:r>
      <w:r w:rsidR="005C7AA2" w:rsidRPr="008D439C">
        <w:rPr>
          <w:rFonts w:ascii="Arial" w:hAnsi="Arial" w:cs="Arial"/>
          <w:sz w:val="24"/>
          <w:szCs w:val="24"/>
        </w:rPr>
        <w:t xml:space="preserve"> eura</w:t>
      </w:r>
      <w:r w:rsidR="008124A9" w:rsidRPr="008D439C">
        <w:rPr>
          <w:rFonts w:ascii="Arial" w:hAnsi="Arial" w:cs="Arial"/>
          <w:sz w:val="24"/>
          <w:szCs w:val="24"/>
        </w:rPr>
        <w:t xml:space="preserve">, a sastoje se </w:t>
      </w:r>
      <w:r w:rsidR="003C4BC7" w:rsidRPr="008D439C">
        <w:rPr>
          <w:rFonts w:ascii="Arial" w:hAnsi="Arial" w:cs="Arial"/>
          <w:sz w:val="24"/>
          <w:szCs w:val="24"/>
        </w:rPr>
        <w:t xml:space="preserve">od </w:t>
      </w:r>
      <w:r w:rsidR="00567167" w:rsidRPr="008D439C">
        <w:rPr>
          <w:rFonts w:ascii="Arial" w:hAnsi="Arial" w:cs="Arial"/>
          <w:sz w:val="24"/>
          <w:szCs w:val="24"/>
        </w:rPr>
        <w:t xml:space="preserve">vlastitih prihoda (podskupina 66) u iznosu </w:t>
      </w:r>
      <w:r w:rsidR="00CA7824">
        <w:rPr>
          <w:rFonts w:ascii="Arial" w:hAnsi="Arial" w:cs="Arial"/>
          <w:sz w:val="24"/>
          <w:szCs w:val="24"/>
        </w:rPr>
        <w:t>17.000,00</w:t>
      </w:r>
      <w:r w:rsidR="004F3E52" w:rsidRPr="008D439C">
        <w:rPr>
          <w:rFonts w:ascii="Arial" w:hAnsi="Arial" w:cs="Arial"/>
          <w:sz w:val="24"/>
          <w:szCs w:val="24"/>
        </w:rPr>
        <w:t xml:space="preserve"> eura</w:t>
      </w:r>
      <w:r w:rsidR="006734A4">
        <w:rPr>
          <w:rFonts w:ascii="Arial" w:hAnsi="Arial" w:cs="Arial"/>
          <w:sz w:val="24"/>
          <w:szCs w:val="24"/>
        </w:rPr>
        <w:t>,</w:t>
      </w:r>
      <w:r w:rsidR="00567167" w:rsidRPr="008D439C">
        <w:rPr>
          <w:rFonts w:ascii="Arial" w:hAnsi="Arial" w:cs="Arial"/>
          <w:sz w:val="24"/>
          <w:szCs w:val="24"/>
        </w:rPr>
        <w:t xml:space="preserve"> a koji p</w:t>
      </w:r>
      <w:r w:rsidR="004F3E52" w:rsidRPr="008D439C">
        <w:rPr>
          <w:rFonts w:ascii="Arial" w:hAnsi="Arial" w:cs="Arial"/>
          <w:sz w:val="24"/>
          <w:szCs w:val="24"/>
        </w:rPr>
        <w:t xml:space="preserve">rihodi se ostvaruju od </w:t>
      </w:r>
      <w:r w:rsidR="006734A4">
        <w:rPr>
          <w:rFonts w:ascii="Arial" w:hAnsi="Arial" w:cs="Arial"/>
          <w:sz w:val="24"/>
          <w:szCs w:val="24"/>
        </w:rPr>
        <w:t xml:space="preserve">usluga </w:t>
      </w:r>
      <w:r w:rsidR="00567167" w:rsidRPr="008D439C">
        <w:rPr>
          <w:rFonts w:ascii="Arial" w:hAnsi="Arial" w:cs="Arial"/>
          <w:sz w:val="24"/>
          <w:szCs w:val="24"/>
        </w:rPr>
        <w:t xml:space="preserve">preslika </w:t>
      </w:r>
      <w:r w:rsidR="00CA7824">
        <w:rPr>
          <w:rFonts w:ascii="Arial" w:hAnsi="Arial" w:cs="Arial"/>
          <w:sz w:val="24"/>
          <w:szCs w:val="24"/>
        </w:rPr>
        <w:t>spisa</w:t>
      </w:r>
      <w:r w:rsidR="00C3462A" w:rsidRPr="008D439C">
        <w:rPr>
          <w:rFonts w:ascii="Arial" w:hAnsi="Arial" w:cs="Arial"/>
          <w:sz w:val="24"/>
          <w:szCs w:val="24"/>
        </w:rPr>
        <w:t xml:space="preserve">, </w:t>
      </w:r>
      <w:r w:rsidR="00432CD7" w:rsidRPr="008D439C">
        <w:rPr>
          <w:rFonts w:ascii="Arial" w:hAnsi="Arial" w:cs="Arial"/>
          <w:sz w:val="24"/>
          <w:szCs w:val="24"/>
        </w:rPr>
        <w:t>prihoda iz proračuna za financiranje djelatnosti prorač</w:t>
      </w:r>
      <w:r w:rsidR="00567167" w:rsidRPr="008D439C">
        <w:rPr>
          <w:rFonts w:ascii="Arial" w:hAnsi="Arial" w:cs="Arial"/>
          <w:sz w:val="24"/>
          <w:szCs w:val="24"/>
        </w:rPr>
        <w:t>unskih korisnika (podskupina 67</w:t>
      </w:r>
      <w:r w:rsidR="00432CD7" w:rsidRPr="008D439C">
        <w:rPr>
          <w:rFonts w:ascii="Arial" w:hAnsi="Arial" w:cs="Arial"/>
          <w:sz w:val="24"/>
          <w:szCs w:val="24"/>
        </w:rPr>
        <w:t xml:space="preserve">) u iznosu od </w:t>
      </w:r>
      <w:r w:rsidR="00F57588">
        <w:rPr>
          <w:rFonts w:ascii="Arial" w:hAnsi="Arial" w:cs="Arial"/>
          <w:sz w:val="24"/>
          <w:szCs w:val="24"/>
        </w:rPr>
        <w:t>6.014.483,00</w:t>
      </w:r>
      <w:r w:rsidR="0029760F">
        <w:rPr>
          <w:rFonts w:ascii="Arial" w:hAnsi="Arial" w:cs="Arial"/>
          <w:sz w:val="24"/>
          <w:szCs w:val="24"/>
        </w:rPr>
        <w:t xml:space="preserve"> eura i </w:t>
      </w:r>
      <w:r w:rsidR="00F57588">
        <w:rPr>
          <w:rFonts w:ascii="Arial" w:hAnsi="Arial" w:cs="Arial"/>
          <w:sz w:val="24"/>
          <w:szCs w:val="24"/>
        </w:rPr>
        <w:t>pomoći EU</w:t>
      </w:r>
      <w:r w:rsidR="00DA0A3E" w:rsidRPr="008D439C">
        <w:rPr>
          <w:rFonts w:ascii="Arial" w:hAnsi="Arial" w:cs="Arial"/>
          <w:sz w:val="24"/>
          <w:szCs w:val="24"/>
        </w:rPr>
        <w:t xml:space="preserve"> u iznosu od </w:t>
      </w:r>
      <w:r w:rsidR="0093696B">
        <w:rPr>
          <w:rFonts w:ascii="Arial" w:hAnsi="Arial" w:cs="Arial"/>
          <w:sz w:val="24"/>
          <w:szCs w:val="24"/>
        </w:rPr>
        <w:t xml:space="preserve">4.000,00 </w:t>
      </w:r>
      <w:r w:rsidR="0029760F">
        <w:rPr>
          <w:rFonts w:ascii="Arial" w:hAnsi="Arial" w:cs="Arial"/>
          <w:sz w:val="24"/>
          <w:szCs w:val="24"/>
        </w:rPr>
        <w:t>eura</w:t>
      </w:r>
      <w:r w:rsidR="004E3919">
        <w:rPr>
          <w:rFonts w:ascii="Arial" w:hAnsi="Arial" w:cs="Arial"/>
          <w:sz w:val="24"/>
          <w:szCs w:val="24"/>
        </w:rPr>
        <w:t xml:space="preserve"> za refundacije</w:t>
      </w:r>
      <w:r w:rsidR="0029760F">
        <w:rPr>
          <w:rFonts w:ascii="Arial" w:hAnsi="Arial" w:cs="Arial"/>
          <w:sz w:val="24"/>
          <w:szCs w:val="24"/>
        </w:rPr>
        <w:t xml:space="preserve"> za službena putovanja zaposlenika.</w:t>
      </w:r>
    </w:p>
    <w:p w14:paraId="6F7DD16D" w14:textId="77777777" w:rsidR="00207BCE" w:rsidRPr="008D439C" w:rsidRDefault="00207BCE" w:rsidP="00EB18D7">
      <w:pPr>
        <w:spacing w:after="0"/>
        <w:rPr>
          <w:rFonts w:ascii="Arial" w:hAnsi="Arial" w:cs="Arial"/>
          <w:sz w:val="24"/>
          <w:szCs w:val="24"/>
        </w:rPr>
      </w:pPr>
    </w:p>
    <w:p w14:paraId="6D297E8D" w14:textId="77777777" w:rsidR="00A86EA8" w:rsidRPr="008D439C" w:rsidRDefault="00A86EA8" w:rsidP="00EB18D7">
      <w:pPr>
        <w:spacing w:after="0"/>
        <w:rPr>
          <w:rFonts w:ascii="Arial" w:hAnsi="Arial" w:cs="Arial"/>
          <w:sz w:val="24"/>
          <w:szCs w:val="24"/>
        </w:rPr>
      </w:pPr>
    </w:p>
    <w:p w14:paraId="6BE8DAD6" w14:textId="69D3920F" w:rsidR="00A86EA8" w:rsidRPr="008D439C" w:rsidRDefault="00C47B16" w:rsidP="00A37E5B">
      <w:pPr>
        <w:spacing w:after="0"/>
        <w:ind w:firstLine="709"/>
        <w:rPr>
          <w:rFonts w:ascii="Arial" w:hAnsi="Arial" w:cs="Arial"/>
          <w:b/>
          <w:sz w:val="24"/>
          <w:szCs w:val="24"/>
        </w:rPr>
      </w:pPr>
      <w:r w:rsidRPr="008D439C">
        <w:rPr>
          <w:rFonts w:ascii="Arial" w:hAnsi="Arial" w:cs="Arial"/>
          <w:b/>
          <w:sz w:val="24"/>
          <w:szCs w:val="24"/>
        </w:rPr>
        <w:t xml:space="preserve">RASHODI </w:t>
      </w:r>
      <w:r w:rsidR="00690C03" w:rsidRPr="008D439C">
        <w:rPr>
          <w:rFonts w:ascii="Arial" w:hAnsi="Arial" w:cs="Arial"/>
          <w:b/>
          <w:sz w:val="24"/>
          <w:szCs w:val="24"/>
        </w:rPr>
        <w:t>POSLOVANJA PO EKONOMSKOJ KLASIFIKACIJI</w:t>
      </w:r>
    </w:p>
    <w:p w14:paraId="5F202812" w14:textId="77777777" w:rsidR="00A86EA8" w:rsidRPr="008D439C" w:rsidRDefault="00A86EA8" w:rsidP="00EB18D7">
      <w:pPr>
        <w:spacing w:after="0"/>
        <w:rPr>
          <w:rFonts w:ascii="Arial" w:hAnsi="Arial" w:cs="Arial"/>
          <w:sz w:val="24"/>
          <w:szCs w:val="24"/>
        </w:rPr>
      </w:pPr>
    </w:p>
    <w:p w14:paraId="1622E5DC" w14:textId="2F19FAE7" w:rsidR="00EB18D7" w:rsidRDefault="006213B7" w:rsidP="0044133A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U nastavku se daje pojašenjenje predloženih i </w:t>
      </w:r>
      <w:r w:rsidR="00CB71A9" w:rsidRPr="008D439C">
        <w:rPr>
          <w:rFonts w:ascii="Arial" w:hAnsi="Arial" w:cs="Arial"/>
          <w:sz w:val="24"/>
          <w:szCs w:val="24"/>
        </w:rPr>
        <w:t>izvršenih</w:t>
      </w:r>
      <w:r w:rsidRPr="008D439C">
        <w:rPr>
          <w:rFonts w:ascii="Arial" w:hAnsi="Arial" w:cs="Arial"/>
          <w:sz w:val="24"/>
          <w:szCs w:val="24"/>
        </w:rPr>
        <w:t xml:space="preserve"> rashoda F</w:t>
      </w:r>
      <w:r w:rsidR="00F46645" w:rsidRPr="008D439C">
        <w:rPr>
          <w:rFonts w:ascii="Arial" w:hAnsi="Arial" w:cs="Arial"/>
          <w:sz w:val="24"/>
          <w:szCs w:val="24"/>
        </w:rPr>
        <w:t xml:space="preserve">inancijskog plana </w:t>
      </w:r>
      <w:r w:rsidR="0044133A" w:rsidRPr="00104AEC">
        <w:rPr>
          <w:rFonts w:ascii="Arial" w:hAnsi="Arial" w:cs="Arial"/>
          <w:sz w:val="24"/>
          <w:szCs w:val="24"/>
        </w:rPr>
        <w:t>Državno</w:t>
      </w:r>
      <w:r w:rsidR="0044133A">
        <w:rPr>
          <w:rFonts w:ascii="Arial" w:hAnsi="Arial" w:cs="Arial"/>
          <w:sz w:val="24"/>
          <w:szCs w:val="24"/>
        </w:rPr>
        <w:t>g odvjetništva</w:t>
      </w:r>
      <w:r w:rsidR="0044133A" w:rsidRPr="00104AEC">
        <w:rPr>
          <w:rFonts w:ascii="Arial" w:hAnsi="Arial" w:cs="Arial"/>
          <w:sz w:val="24"/>
          <w:szCs w:val="24"/>
        </w:rPr>
        <w:t>, Ured</w:t>
      </w:r>
      <w:r w:rsidR="0044133A">
        <w:rPr>
          <w:rFonts w:ascii="Arial" w:hAnsi="Arial" w:cs="Arial"/>
          <w:sz w:val="24"/>
          <w:szCs w:val="24"/>
        </w:rPr>
        <w:t>a</w:t>
      </w:r>
      <w:r w:rsidR="0044133A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44133A">
        <w:rPr>
          <w:rFonts w:ascii="Arial" w:hAnsi="Arial" w:cs="Arial"/>
          <w:sz w:val="24"/>
          <w:szCs w:val="24"/>
        </w:rPr>
        <w:t>e i ograniziranog kriminaliteta</w:t>
      </w:r>
      <w:r w:rsidR="00B90572" w:rsidRPr="008D439C">
        <w:rPr>
          <w:rFonts w:ascii="Arial" w:hAnsi="Arial" w:cs="Arial"/>
          <w:sz w:val="24"/>
          <w:szCs w:val="24"/>
        </w:rPr>
        <w:t xml:space="preserve"> </w:t>
      </w:r>
      <w:r w:rsidR="00500159" w:rsidRPr="008D439C">
        <w:rPr>
          <w:rFonts w:ascii="Arial" w:hAnsi="Arial" w:cs="Arial"/>
          <w:sz w:val="24"/>
          <w:szCs w:val="24"/>
        </w:rPr>
        <w:t>u prvom polugodištu</w:t>
      </w:r>
      <w:r w:rsidR="00CE2FF7" w:rsidRPr="008D439C">
        <w:rPr>
          <w:rFonts w:ascii="Arial" w:hAnsi="Arial" w:cs="Arial"/>
          <w:sz w:val="24"/>
          <w:szCs w:val="24"/>
        </w:rPr>
        <w:t xml:space="preserve"> 2025</w:t>
      </w:r>
      <w:r w:rsidR="00500159" w:rsidRPr="008D439C">
        <w:rPr>
          <w:rFonts w:ascii="Arial" w:hAnsi="Arial" w:cs="Arial"/>
          <w:sz w:val="24"/>
          <w:szCs w:val="24"/>
        </w:rPr>
        <w:t xml:space="preserve">. </w:t>
      </w:r>
    </w:p>
    <w:p w14:paraId="2B485BD2" w14:textId="77777777" w:rsidR="00547329" w:rsidRPr="008D439C" w:rsidRDefault="00547329" w:rsidP="0044133A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2C462CFF" w14:textId="77777777" w:rsidR="0012448A" w:rsidRPr="008D439C" w:rsidRDefault="0012448A" w:rsidP="00EB18D7">
      <w:pPr>
        <w:spacing w:after="0"/>
        <w:rPr>
          <w:rFonts w:ascii="Arial" w:hAnsi="Arial" w:cs="Arial"/>
          <w:sz w:val="24"/>
          <w:szCs w:val="24"/>
        </w:rPr>
      </w:pPr>
    </w:p>
    <w:p w14:paraId="1B390FA0" w14:textId="06E76683" w:rsidR="0012448A" w:rsidRPr="008D439C" w:rsidRDefault="0012448A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Rashodi za zaposlene</w:t>
      </w:r>
    </w:p>
    <w:p w14:paraId="1C68CA13" w14:textId="77777777" w:rsidR="0012448A" w:rsidRPr="008D439C" w:rsidRDefault="0012448A" w:rsidP="00EB18D7">
      <w:pPr>
        <w:spacing w:after="0"/>
        <w:rPr>
          <w:rFonts w:ascii="Arial" w:hAnsi="Arial" w:cs="Arial"/>
          <w:sz w:val="24"/>
          <w:szCs w:val="24"/>
        </w:rPr>
      </w:pPr>
    </w:p>
    <w:p w14:paraId="5ED4CED3" w14:textId="2C1AF1E2" w:rsidR="00F62E97" w:rsidRDefault="0012448A" w:rsidP="00F62E97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Rashodi </w:t>
      </w:r>
      <w:r w:rsidR="00821582" w:rsidRPr="008D439C">
        <w:rPr>
          <w:rFonts w:ascii="Arial" w:hAnsi="Arial" w:cs="Arial"/>
          <w:sz w:val="24"/>
          <w:szCs w:val="24"/>
        </w:rPr>
        <w:t>za zaposlene planirani su u 2025</w:t>
      </w:r>
      <w:r w:rsidRPr="008D439C">
        <w:rPr>
          <w:rFonts w:ascii="Arial" w:hAnsi="Arial" w:cs="Arial"/>
          <w:sz w:val="24"/>
          <w:szCs w:val="24"/>
        </w:rPr>
        <w:t xml:space="preserve">. godini u iznosu od </w:t>
      </w:r>
      <w:r w:rsidR="00FF5713">
        <w:rPr>
          <w:rFonts w:ascii="Arial" w:hAnsi="Arial" w:cs="Arial"/>
          <w:sz w:val="24"/>
          <w:szCs w:val="24"/>
        </w:rPr>
        <w:t xml:space="preserve">4.695.450,00 </w:t>
      </w:r>
      <w:r w:rsidR="00334085" w:rsidRPr="008D439C">
        <w:rPr>
          <w:rFonts w:ascii="Arial" w:hAnsi="Arial" w:cs="Arial"/>
          <w:sz w:val="24"/>
          <w:szCs w:val="24"/>
        </w:rPr>
        <w:t>eura</w:t>
      </w:r>
      <w:r w:rsidR="00F46645" w:rsidRPr="008D439C">
        <w:rPr>
          <w:rFonts w:ascii="Arial" w:hAnsi="Arial" w:cs="Arial"/>
          <w:sz w:val="24"/>
          <w:szCs w:val="24"/>
        </w:rPr>
        <w:t xml:space="preserve">. Isti rashodi izvršeni su u </w:t>
      </w:r>
      <w:r w:rsidR="00D2385F" w:rsidRPr="008D439C">
        <w:rPr>
          <w:rFonts w:ascii="Arial" w:hAnsi="Arial" w:cs="Arial"/>
          <w:sz w:val="24"/>
          <w:szCs w:val="24"/>
        </w:rPr>
        <w:t xml:space="preserve">iznosu od </w:t>
      </w:r>
      <w:r w:rsidR="00AF3397">
        <w:rPr>
          <w:rFonts w:ascii="Arial" w:hAnsi="Arial" w:cs="Arial"/>
          <w:sz w:val="24"/>
          <w:szCs w:val="24"/>
        </w:rPr>
        <w:t xml:space="preserve">2.220.507,42 </w:t>
      </w:r>
      <w:r w:rsidR="00334085" w:rsidRPr="008D439C">
        <w:rPr>
          <w:rFonts w:ascii="Arial" w:hAnsi="Arial" w:cs="Arial"/>
          <w:sz w:val="24"/>
          <w:szCs w:val="24"/>
        </w:rPr>
        <w:t>eura</w:t>
      </w:r>
      <w:r w:rsidR="00C53B82" w:rsidRPr="008D439C">
        <w:rPr>
          <w:rFonts w:ascii="Arial" w:hAnsi="Arial" w:cs="Arial"/>
          <w:sz w:val="24"/>
          <w:szCs w:val="24"/>
        </w:rPr>
        <w:t xml:space="preserve"> što čini </w:t>
      </w:r>
      <w:r w:rsidR="00AF3397">
        <w:rPr>
          <w:rFonts w:ascii="Arial" w:hAnsi="Arial" w:cs="Arial"/>
          <w:sz w:val="24"/>
          <w:szCs w:val="24"/>
        </w:rPr>
        <w:t>47,29</w:t>
      </w:r>
      <w:r w:rsidR="00D2385F" w:rsidRPr="008D439C">
        <w:rPr>
          <w:rFonts w:ascii="Arial" w:hAnsi="Arial" w:cs="Arial"/>
          <w:sz w:val="24"/>
          <w:szCs w:val="24"/>
        </w:rPr>
        <w:t xml:space="preserve"> </w:t>
      </w:r>
      <w:r w:rsidR="00334085" w:rsidRPr="008D439C">
        <w:rPr>
          <w:rFonts w:ascii="Arial" w:hAnsi="Arial" w:cs="Arial"/>
          <w:sz w:val="24"/>
          <w:szCs w:val="24"/>
        </w:rPr>
        <w:t xml:space="preserve">% izvršenja </w:t>
      </w:r>
      <w:r w:rsidR="00457CB8" w:rsidRPr="008D439C">
        <w:rPr>
          <w:rFonts w:ascii="Arial" w:hAnsi="Arial" w:cs="Arial"/>
          <w:sz w:val="24"/>
          <w:szCs w:val="24"/>
        </w:rPr>
        <w:t xml:space="preserve">izvornog </w:t>
      </w:r>
      <w:r w:rsidR="00334085" w:rsidRPr="008D439C">
        <w:rPr>
          <w:rFonts w:ascii="Arial" w:hAnsi="Arial" w:cs="Arial"/>
          <w:sz w:val="24"/>
          <w:szCs w:val="24"/>
        </w:rPr>
        <w:t>plana 2025</w:t>
      </w:r>
      <w:r w:rsidR="0067112C" w:rsidRPr="008D439C">
        <w:rPr>
          <w:rFonts w:ascii="Arial" w:hAnsi="Arial" w:cs="Arial"/>
          <w:sz w:val="24"/>
          <w:szCs w:val="24"/>
        </w:rPr>
        <w:t>. godine</w:t>
      </w:r>
      <w:r w:rsidR="00F23C1B" w:rsidRPr="008D439C">
        <w:rPr>
          <w:rFonts w:ascii="Arial" w:hAnsi="Arial" w:cs="Arial"/>
          <w:sz w:val="24"/>
          <w:szCs w:val="24"/>
        </w:rPr>
        <w:t>, a odnose se na rashode za plaće za redovan rad i plaće za prekovremeni rad zaposlenih</w:t>
      </w:r>
      <w:r w:rsidR="00DA547B">
        <w:rPr>
          <w:rFonts w:ascii="Arial" w:hAnsi="Arial" w:cs="Arial"/>
          <w:sz w:val="24"/>
          <w:szCs w:val="24"/>
        </w:rPr>
        <w:t>,</w:t>
      </w:r>
      <w:r w:rsidR="007767E9" w:rsidRPr="008D439C">
        <w:rPr>
          <w:rFonts w:ascii="Arial" w:hAnsi="Arial" w:cs="Arial"/>
          <w:sz w:val="24"/>
          <w:szCs w:val="24"/>
        </w:rPr>
        <w:t xml:space="preserve"> doprinose</w:t>
      </w:r>
      <w:r w:rsidR="00F23C1B" w:rsidRPr="008D439C">
        <w:rPr>
          <w:rFonts w:ascii="Arial" w:hAnsi="Arial" w:cs="Arial"/>
          <w:sz w:val="24"/>
          <w:szCs w:val="24"/>
        </w:rPr>
        <w:t xml:space="preserve"> za obvezno zdravstveno osiguranje</w:t>
      </w:r>
      <w:r w:rsidR="005219E3">
        <w:rPr>
          <w:rFonts w:ascii="Arial" w:hAnsi="Arial" w:cs="Arial"/>
          <w:sz w:val="24"/>
          <w:szCs w:val="24"/>
        </w:rPr>
        <w:t>, doprinose za mirovinsko</w:t>
      </w:r>
      <w:r w:rsidR="00DA547B">
        <w:rPr>
          <w:rFonts w:ascii="Arial" w:hAnsi="Arial" w:cs="Arial"/>
          <w:sz w:val="24"/>
          <w:szCs w:val="24"/>
        </w:rPr>
        <w:t xml:space="preserve"> osiguranja </w:t>
      </w:r>
      <w:r w:rsidR="00EF051B" w:rsidRPr="008D439C">
        <w:rPr>
          <w:rFonts w:ascii="Arial" w:hAnsi="Arial" w:cs="Arial"/>
          <w:sz w:val="24"/>
          <w:szCs w:val="24"/>
        </w:rPr>
        <w:t xml:space="preserve"> i ostale rashode za zaposlene kao što su regres, naknade za bolest, smrtni slučaj, otpremnine, jubilarne nagrade</w:t>
      </w:r>
      <w:r w:rsidR="002F5D6E" w:rsidRPr="008D439C">
        <w:rPr>
          <w:rFonts w:ascii="Arial" w:hAnsi="Arial" w:cs="Arial"/>
          <w:sz w:val="24"/>
          <w:szCs w:val="24"/>
        </w:rPr>
        <w:t>, uskrsnice.</w:t>
      </w:r>
      <w:r w:rsidR="00F62E97">
        <w:rPr>
          <w:rFonts w:ascii="Arial" w:hAnsi="Arial" w:cs="Arial"/>
          <w:sz w:val="24"/>
          <w:szCs w:val="24"/>
        </w:rPr>
        <w:t xml:space="preserve"> Do vrijednosno značajnijeg izvršenja rashoda za zaposlene, došlo je radi zakonskih izmjena </w:t>
      </w:r>
      <w:r w:rsidR="00577BCD">
        <w:rPr>
          <w:rFonts w:ascii="Arial" w:hAnsi="Arial" w:cs="Arial"/>
          <w:sz w:val="24"/>
          <w:szCs w:val="24"/>
        </w:rPr>
        <w:t>(povećanja koeficijenata i osnovice pravosudnim dužnosnicima i povećanje osnovice za službenike i namještenike)</w:t>
      </w:r>
      <w:r w:rsidR="002F107B">
        <w:rPr>
          <w:rFonts w:ascii="Arial" w:hAnsi="Arial" w:cs="Arial"/>
          <w:sz w:val="24"/>
          <w:szCs w:val="24"/>
        </w:rPr>
        <w:t xml:space="preserve"> i plaćanja doprinosa </w:t>
      </w:r>
      <w:r w:rsidR="007959D5">
        <w:rPr>
          <w:rFonts w:ascii="Arial" w:hAnsi="Arial" w:cs="Arial"/>
          <w:sz w:val="24"/>
          <w:szCs w:val="24"/>
        </w:rPr>
        <w:t>delegiranim europskim tužiteljima</w:t>
      </w:r>
      <w:r w:rsidR="00C25D04">
        <w:rPr>
          <w:rFonts w:ascii="Arial" w:hAnsi="Arial" w:cs="Arial"/>
          <w:sz w:val="24"/>
          <w:szCs w:val="24"/>
        </w:rPr>
        <w:t xml:space="preserve">. </w:t>
      </w:r>
    </w:p>
    <w:p w14:paraId="494ADC42" w14:textId="77777777" w:rsidR="00EF051B" w:rsidRDefault="00EF051B" w:rsidP="00EB18D7">
      <w:pPr>
        <w:spacing w:after="0"/>
        <w:rPr>
          <w:rFonts w:ascii="Arial" w:hAnsi="Arial" w:cs="Arial"/>
          <w:sz w:val="24"/>
          <w:szCs w:val="24"/>
        </w:rPr>
      </w:pPr>
    </w:p>
    <w:p w14:paraId="230FAC0E" w14:textId="77777777" w:rsidR="00547329" w:rsidRPr="008D439C" w:rsidRDefault="00547329" w:rsidP="00EB18D7">
      <w:pPr>
        <w:spacing w:after="0"/>
        <w:rPr>
          <w:rFonts w:ascii="Arial" w:hAnsi="Arial" w:cs="Arial"/>
          <w:sz w:val="24"/>
          <w:szCs w:val="24"/>
        </w:rPr>
      </w:pPr>
    </w:p>
    <w:p w14:paraId="57F09FA0" w14:textId="1544391C" w:rsidR="00EF051B" w:rsidRPr="008D439C" w:rsidRDefault="00EF051B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Materijalni rashodi</w:t>
      </w:r>
    </w:p>
    <w:p w14:paraId="41AFEDD7" w14:textId="77777777" w:rsidR="00EF051B" w:rsidRPr="008D439C" w:rsidRDefault="00EF051B" w:rsidP="00EB18D7">
      <w:pPr>
        <w:spacing w:after="0"/>
        <w:rPr>
          <w:rFonts w:ascii="Arial" w:hAnsi="Arial" w:cs="Arial"/>
          <w:sz w:val="24"/>
          <w:szCs w:val="24"/>
        </w:rPr>
      </w:pPr>
    </w:p>
    <w:p w14:paraId="29DD0D38" w14:textId="590A1725" w:rsidR="00821541" w:rsidRPr="008D439C" w:rsidRDefault="00EF051B" w:rsidP="00821541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Materijaln</w:t>
      </w:r>
      <w:r w:rsidR="00EA3F54" w:rsidRPr="008D439C">
        <w:rPr>
          <w:rFonts w:ascii="Arial" w:hAnsi="Arial" w:cs="Arial"/>
          <w:sz w:val="24"/>
          <w:szCs w:val="24"/>
        </w:rPr>
        <w:t xml:space="preserve">i rashodi planirani su u </w:t>
      </w:r>
      <w:r w:rsidR="00D445B4" w:rsidRPr="008D439C">
        <w:rPr>
          <w:rFonts w:ascii="Arial" w:hAnsi="Arial" w:cs="Arial"/>
          <w:sz w:val="24"/>
          <w:szCs w:val="24"/>
        </w:rPr>
        <w:t>2025</w:t>
      </w:r>
      <w:r w:rsidR="00F0794F" w:rsidRPr="008D439C">
        <w:rPr>
          <w:rFonts w:ascii="Arial" w:hAnsi="Arial" w:cs="Arial"/>
          <w:sz w:val="24"/>
          <w:szCs w:val="24"/>
        </w:rPr>
        <w:t xml:space="preserve">. </w:t>
      </w:r>
      <w:r w:rsidRPr="008D439C">
        <w:rPr>
          <w:rFonts w:ascii="Arial" w:hAnsi="Arial" w:cs="Arial"/>
          <w:sz w:val="24"/>
          <w:szCs w:val="24"/>
        </w:rPr>
        <w:t xml:space="preserve">godini u iznosu od </w:t>
      </w:r>
      <w:r w:rsidR="00BC64F6">
        <w:rPr>
          <w:rFonts w:ascii="Arial" w:hAnsi="Arial" w:cs="Arial"/>
          <w:sz w:val="24"/>
          <w:szCs w:val="24"/>
        </w:rPr>
        <w:t>1.275.133,00</w:t>
      </w:r>
      <w:r w:rsidR="0016117B" w:rsidRPr="008D439C">
        <w:rPr>
          <w:rFonts w:ascii="Arial" w:hAnsi="Arial" w:cs="Arial"/>
          <w:sz w:val="24"/>
          <w:szCs w:val="24"/>
        </w:rPr>
        <w:t xml:space="preserve"> eura</w:t>
      </w:r>
      <w:r w:rsidRPr="008D439C">
        <w:rPr>
          <w:rFonts w:ascii="Arial" w:hAnsi="Arial" w:cs="Arial"/>
          <w:sz w:val="24"/>
          <w:szCs w:val="24"/>
        </w:rPr>
        <w:t xml:space="preserve">, a </w:t>
      </w:r>
      <w:r w:rsidR="00F0794F" w:rsidRPr="008D439C">
        <w:rPr>
          <w:rFonts w:ascii="Arial" w:hAnsi="Arial" w:cs="Arial"/>
          <w:sz w:val="24"/>
          <w:szCs w:val="24"/>
        </w:rPr>
        <w:t xml:space="preserve">izvršeni </w:t>
      </w:r>
      <w:r w:rsidR="0016117B" w:rsidRPr="008D439C">
        <w:rPr>
          <w:rFonts w:ascii="Arial" w:hAnsi="Arial" w:cs="Arial"/>
          <w:sz w:val="24"/>
          <w:szCs w:val="24"/>
        </w:rPr>
        <w:t xml:space="preserve">su u iznosu od </w:t>
      </w:r>
      <w:r w:rsidR="00BC64F6">
        <w:rPr>
          <w:rFonts w:ascii="Arial" w:hAnsi="Arial" w:cs="Arial"/>
          <w:sz w:val="24"/>
          <w:szCs w:val="24"/>
        </w:rPr>
        <w:t>526.356,60</w:t>
      </w:r>
      <w:r w:rsidR="0016117B" w:rsidRPr="008D439C">
        <w:rPr>
          <w:rFonts w:ascii="Arial" w:hAnsi="Arial" w:cs="Arial"/>
          <w:sz w:val="24"/>
          <w:szCs w:val="24"/>
        </w:rPr>
        <w:t xml:space="preserve"> eura</w:t>
      </w:r>
      <w:r w:rsidR="004B580F" w:rsidRPr="008D439C">
        <w:rPr>
          <w:rFonts w:ascii="Arial" w:hAnsi="Arial" w:cs="Arial"/>
          <w:sz w:val="24"/>
          <w:szCs w:val="24"/>
        </w:rPr>
        <w:t xml:space="preserve"> ili </w:t>
      </w:r>
      <w:r w:rsidR="00CE5125">
        <w:rPr>
          <w:rFonts w:ascii="Arial" w:hAnsi="Arial" w:cs="Arial"/>
          <w:sz w:val="24"/>
          <w:szCs w:val="24"/>
        </w:rPr>
        <w:t>41,28</w:t>
      </w:r>
      <w:r w:rsidR="004B580F" w:rsidRPr="008D439C">
        <w:rPr>
          <w:rFonts w:ascii="Arial" w:hAnsi="Arial" w:cs="Arial"/>
          <w:sz w:val="24"/>
          <w:szCs w:val="24"/>
        </w:rPr>
        <w:t xml:space="preserve"> </w:t>
      </w:r>
      <w:r w:rsidR="004D72C5" w:rsidRPr="008D439C">
        <w:rPr>
          <w:rFonts w:ascii="Arial" w:hAnsi="Arial" w:cs="Arial"/>
          <w:sz w:val="24"/>
          <w:szCs w:val="24"/>
        </w:rPr>
        <w:t>%</w:t>
      </w:r>
      <w:r w:rsidR="004A0949" w:rsidRPr="008D439C">
        <w:rPr>
          <w:rFonts w:ascii="Arial" w:hAnsi="Arial" w:cs="Arial"/>
          <w:sz w:val="24"/>
          <w:szCs w:val="24"/>
        </w:rPr>
        <w:t xml:space="preserve"> u odnosu na </w:t>
      </w:r>
      <w:r w:rsidR="00930E23" w:rsidRPr="008D439C">
        <w:rPr>
          <w:rFonts w:ascii="Arial" w:hAnsi="Arial" w:cs="Arial"/>
          <w:sz w:val="24"/>
          <w:szCs w:val="24"/>
        </w:rPr>
        <w:t xml:space="preserve">izvorni </w:t>
      </w:r>
      <w:r w:rsidR="004A0949" w:rsidRPr="008D439C">
        <w:rPr>
          <w:rFonts w:ascii="Arial" w:hAnsi="Arial" w:cs="Arial"/>
          <w:sz w:val="24"/>
          <w:szCs w:val="24"/>
        </w:rPr>
        <w:t>plan</w:t>
      </w:r>
      <w:r w:rsidR="00CD437F" w:rsidRPr="008D439C">
        <w:rPr>
          <w:rFonts w:ascii="Arial" w:hAnsi="Arial" w:cs="Arial"/>
          <w:sz w:val="24"/>
          <w:szCs w:val="24"/>
        </w:rPr>
        <w:t xml:space="preserve"> za 2025</w:t>
      </w:r>
      <w:r w:rsidR="004D72C5" w:rsidRPr="008D439C">
        <w:rPr>
          <w:rFonts w:ascii="Arial" w:hAnsi="Arial" w:cs="Arial"/>
          <w:sz w:val="24"/>
          <w:szCs w:val="24"/>
        </w:rPr>
        <w:t xml:space="preserve">. </w:t>
      </w:r>
      <w:r w:rsidR="00F0794F" w:rsidRPr="008D439C">
        <w:rPr>
          <w:rFonts w:ascii="Arial" w:hAnsi="Arial" w:cs="Arial"/>
          <w:sz w:val="24"/>
          <w:szCs w:val="24"/>
        </w:rPr>
        <w:t>O</w:t>
      </w:r>
      <w:r w:rsidR="001C2850" w:rsidRPr="008D439C">
        <w:rPr>
          <w:rFonts w:ascii="Arial" w:hAnsi="Arial" w:cs="Arial"/>
          <w:sz w:val="24"/>
          <w:szCs w:val="24"/>
        </w:rPr>
        <w:t>dnose se na ostvaren</w:t>
      </w:r>
      <w:r w:rsidR="00F0794F" w:rsidRPr="008D439C">
        <w:rPr>
          <w:rFonts w:ascii="Arial" w:hAnsi="Arial" w:cs="Arial"/>
          <w:sz w:val="24"/>
          <w:szCs w:val="24"/>
        </w:rPr>
        <w:t xml:space="preserve">je programskih aktivnosti i redovno poslovanje </w:t>
      </w:r>
      <w:r w:rsidR="002D65B4" w:rsidRPr="00104AEC">
        <w:rPr>
          <w:rFonts w:ascii="Arial" w:hAnsi="Arial" w:cs="Arial"/>
          <w:sz w:val="24"/>
          <w:szCs w:val="24"/>
        </w:rPr>
        <w:t>Državno</w:t>
      </w:r>
      <w:r w:rsidR="002D65B4">
        <w:rPr>
          <w:rFonts w:ascii="Arial" w:hAnsi="Arial" w:cs="Arial"/>
          <w:sz w:val="24"/>
          <w:szCs w:val="24"/>
        </w:rPr>
        <w:t>g odvjetništva</w:t>
      </w:r>
      <w:r w:rsidR="002D65B4" w:rsidRPr="00104AEC">
        <w:rPr>
          <w:rFonts w:ascii="Arial" w:hAnsi="Arial" w:cs="Arial"/>
          <w:sz w:val="24"/>
          <w:szCs w:val="24"/>
        </w:rPr>
        <w:t>, Ured</w:t>
      </w:r>
      <w:r w:rsidR="002D65B4">
        <w:rPr>
          <w:rFonts w:ascii="Arial" w:hAnsi="Arial" w:cs="Arial"/>
          <w:sz w:val="24"/>
          <w:szCs w:val="24"/>
        </w:rPr>
        <w:t>a</w:t>
      </w:r>
      <w:r w:rsidR="002D65B4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2D65B4">
        <w:rPr>
          <w:rFonts w:ascii="Arial" w:hAnsi="Arial" w:cs="Arial"/>
          <w:sz w:val="24"/>
          <w:szCs w:val="24"/>
        </w:rPr>
        <w:t>e i ograniziranog kriminaliteta</w:t>
      </w:r>
      <w:r w:rsidR="00E67075">
        <w:rPr>
          <w:rFonts w:ascii="Arial" w:hAnsi="Arial" w:cs="Arial"/>
          <w:sz w:val="24"/>
          <w:szCs w:val="24"/>
        </w:rPr>
        <w:t>.</w:t>
      </w:r>
      <w:r w:rsidR="00821541">
        <w:rPr>
          <w:rFonts w:ascii="Arial" w:hAnsi="Arial" w:cs="Arial"/>
          <w:sz w:val="24"/>
          <w:szCs w:val="24"/>
        </w:rPr>
        <w:t xml:space="preserve"> Do vrijednosno značajnijeg izvršenja materijalnih rashoda došlo je radi preseljenja </w:t>
      </w:r>
      <w:r w:rsidR="00821541" w:rsidRPr="00104AEC">
        <w:rPr>
          <w:rFonts w:ascii="Arial" w:hAnsi="Arial" w:cs="Arial"/>
          <w:sz w:val="24"/>
          <w:szCs w:val="24"/>
        </w:rPr>
        <w:t>Državno</w:t>
      </w:r>
      <w:r w:rsidR="00821541">
        <w:rPr>
          <w:rFonts w:ascii="Arial" w:hAnsi="Arial" w:cs="Arial"/>
          <w:sz w:val="24"/>
          <w:szCs w:val="24"/>
        </w:rPr>
        <w:t xml:space="preserve">g odvjetništva, </w:t>
      </w:r>
      <w:r w:rsidR="00821541" w:rsidRPr="00104AEC">
        <w:rPr>
          <w:rFonts w:ascii="Arial" w:hAnsi="Arial" w:cs="Arial"/>
          <w:sz w:val="24"/>
          <w:szCs w:val="24"/>
        </w:rPr>
        <w:t>Ured</w:t>
      </w:r>
      <w:r w:rsidR="00821541">
        <w:rPr>
          <w:rFonts w:ascii="Arial" w:hAnsi="Arial" w:cs="Arial"/>
          <w:sz w:val="24"/>
          <w:szCs w:val="24"/>
        </w:rPr>
        <w:t>a</w:t>
      </w:r>
      <w:r w:rsidR="00821541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821541">
        <w:rPr>
          <w:rFonts w:ascii="Arial" w:hAnsi="Arial" w:cs="Arial"/>
          <w:sz w:val="24"/>
          <w:szCs w:val="24"/>
        </w:rPr>
        <w:t xml:space="preserve">e i ograniziranog kriminaliteta u nove prostorije.  </w:t>
      </w:r>
    </w:p>
    <w:p w14:paraId="754F9F24" w14:textId="262D1075" w:rsidR="00EF051B" w:rsidRPr="008D439C" w:rsidRDefault="00EF051B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28B324D0" w14:textId="77777777" w:rsidR="00207BCE" w:rsidRPr="008D439C" w:rsidRDefault="00207BCE" w:rsidP="00207BCE">
      <w:pPr>
        <w:spacing w:after="0"/>
        <w:rPr>
          <w:rFonts w:ascii="Arial" w:hAnsi="Arial" w:cs="Arial"/>
          <w:b/>
          <w:sz w:val="24"/>
          <w:szCs w:val="24"/>
        </w:rPr>
      </w:pPr>
    </w:p>
    <w:p w14:paraId="7B97FC40" w14:textId="6C4AED84" w:rsidR="00207BCE" w:rsidRPr="008D439C" w:rsidRDefault="0057266A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Financijski rashodi </w:t>
      </w:r>
    </w:p>
    <w:p w14:paraId="35644AE0" w14:textId="77777777" w:rsidR="00B62D23" w:rsidRPr="008D439C" w:rsidRDefault="00B62D23">
      <w:pPr>
        <w:jc w:val="left"/>
        <w:rPr>
          <w:rFonts w:ascii="Arial" w:hAnsi="Arial" w:cs="Arial"/>
          <w:sz w:val="24"/>
          <w:szCs w:val="24"/>
        </w:rPr>
      </w:pPr>
    </w:p>
    <w:p w14:paraId="032A2A00" w14:textId="53845995" w:rsidR="00B91190" w:rsidRDefault="00387B3F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 xml:space="preserve">Financijski rashodi </w:t>
      </w:r>
      <w:r w:rsidR="00972978" w:rsidRPr="008D439C">
        <w:rPr>
          <w:rFonts w:ascii="Arial" w:hAnsi="Arial" w:cs="Arial"/>
          <w:sz w:val="24"/>
          <w:szCs w:val="24"/>
        </w:rPr>
        <w:t xml:space="preserve">planirani su u iznosu od </w:t>
      </w:r>
      <w:r w:rsidR="00EC46C6">
        <w:rPr>
          <w:rFonts w:ascii="Arial" w:hAnsi="Arial" w:cs="Arial"/>
          <w:sz w:val="24"/>
          <w:szCs w:val="24"/>
        </w:rPr>
        <w:t>11.900,00</w:t>
      </w:r>
      <w:r w:rsidR="00263708" w:rsidRPr="008D439C">
        <w:rPr>
          <w:rFonts w:ascii="Arial" w:hAnsi="Arial" w:cs="Arial"/>
          <w:sz w:val="24"/>
          <w:szCs w:val="24"/>
        </w:rPr>
        <w:t xml:space="preserve"> eura</w:t>
      </w:r>
      <w:r w:rsidR="00F865F6" w:rsidRPr="008D439C">
        <w:rPr>
          <w:rFonts w:ascii="Arial" w:hAnsi="Arial" w:cs="Arial"/>
          <w:sz w:val="24"/>
          <w:szCs w:val="24"/>
        </w:rPr>
        <w:t xml:space="preserve">, a izvršeni su </w:t>
      </w:r>
      <w:r w:rsidR="00156411" w:rsidRPr="008D439C">
        <w:rPr>
          <w:rFonts w:ascii="Arial" w:hAnsi="Arial" w:cs="Arial"/>
          <w:sz w:val="24"/>
          <w:szCs w:val="24"/>
        </w:rPr>
        <w:t xml:space="preserve">prvom polugodištu 2025. </w:t>
      </w:r>
      <w:r w:rsidR="00F865F6" w:rsidRPr="008D439C">
        <w:rPr>
          <w:rFonts w:ascii="Arial" w:hAnsi="Arial" w:cs="Arial"/>
          <w:sz w:val="24"/>
          <w:szCs w:val="24"/>
        </w:rPr>
        <w:t xml:space="preserve">u iznosu od </w:t>
      </w:r>
      <w:r w:rsidR="00EC46C6">
        <w:rPr>
          <w:rFonts w:ascii="Arial" w:hAnsi="Arial" w:cs="Arial"/>
          <w:sz w:val="24"/>
          <w:szCs w:val="24"/>
        </w:rPr>
        <w:t>5.418,57</w:t>
      </w:r>
      <w:r w:rsidR="007C202B">
        <w:rPr>
          <w:rFonts w:ascii="Arial" w:hAnsi="Arial" w:cs="Arial"/>
          <w:sz w:val="24"/>
          <w:szCs w:val="24"/>
        </w:rPr>
        <w:t xml:space="preserve"> eura ili 45,53</w:t>
      </w:r>
      <w:r w:rsidR="00263708" w:rsidRPr="008D439C">
        <w:rPr>
          <w:rFonts w:ascii="Arial" w:hAnsi="Arial" w:cs="Arial"/>
          <w:sz w:val="24"/>
          <w:szCs w:val="24"/>
        </w:rPr>
        <w:t xml:space="preserve"> </w:t>
      </w:r>
      <w:r w:rsidR="004A0949" w:rsidRPr="008D439C">
        <w:rPr>
          <w:rFonts w:ascii="Arial" w:hAnsi="Arial" w:cs="Arial"/>
          <w:sz w:val="24"/>
          <w:szCs w:val="24"/>
        </w:rPr>
        <w:t xml:space="preserve">% </w:t>
      </w:r>
      <w:r w:rsidR="00263708" w:rsidRPr="008D439C">
        <w:rPr>
          <w:rFonts w:ascii="Arial" w:hAnsi="Arial" w:cs="Arial"/>
          <w:sz w:val="24"/>
          <w:szCs w:val="24"/>
        </w:rPr>
        <w:t xml:space="preserve">u odnosu na </w:t>
      </w:r>
      <w:r w:rsidR="00AA0C5F" w:rsidRPr="008D439C">
        <w:rPr>
          <w:rFonts w:ascii="Arial" w:hAnsi="Arial" w:cs="Arial"/>
          <w:sz w:val="24"/>
          <w:szCs w:val="24"/>
        </w:rPr>
        <w:t xml:space="preserve">izvorni </w:t>
      </w:r>
      <w:r w:rsidR="00263708" w:rsidRPr="008D439C">
        <w:rPr>
          <w:rFonts w:ascii="Arial" w:hAnsi="Arial" w:cs="Arial"/>
          <w:sz w:val="24"/>
          <w:szCs w:val="24"/>
        </w:rPr>
        <w:t>plan za 2025</w:t>
      </w:r>
      <w:r w:rsidR="00444A1F" w:rsidRPr="008D439C">
        <w:rPr>
          <w:rFonts w:ascii="Arial" w:hAnsi="Arial" w:cs="Arial"/>
          <w:sz w:val="24"/>
          <w:szCs w:val="24"/>
        </w:rPr>
        <w:t>.</w:t>
      </w:r>
      <w:r w:rsidR="00F865F6" w:rsidRPr="008D439C">
        <w:rPr>
          <w:rFonts w:ascii="Arial" w:hAnsi="Arial" w:cs="Arial"/>
          <w:sz w:val="24"/>
          <w:szCs w:val="24"/>
        </w:rPr>
        <w:t xml:space="preserve"> Navedeni rashodi odnose se na otplatu</w:t>
      </w:r>
      <w:r w:rsidR="008F44B2" w:rsidRPr="008D439C">
        <w:rPr>
          <w:rFonts w:ascii="Arial" w:hAnsi="Arial" w:cs="Arial"/>
          <w:sz w:val="24"/>
          <w:szCs w:val="24"/>
        </w:rPr>
        <w:t xml:space="preserve"> kamata za financijski leasing,</w:t>
      </w:r>
      <w:r w:rsidR="00F865F6" w:rsidRPr="008D439C">
        <w:rPr>
          <w:rFonts w:ascii="Arial" w:hAnsi="Arial" w:cs="Arial"/>
          <w:sz w:val="24"/>
          <w:szCs w:val="24"/>
        </w:rPr>
        <w:t xml:space="preserve"> bankarske usluge i usluge platnog prometa. </w:t>
      </w:r>
    </w:p>
    <w:p w14:paraId="572B6B2D" w14:textId="77777777" w:rsidR="00494C39" w:rsidRDefault="00494C39" w:rsidP="00547329">
      <w:pPr>
        <w:spacing w:after="0"/>
        <w:rPr>
          <w:rFonts w:ascii="Arial" w:hAnsi="Arial" w:cs="Arial"/>
          <w:sz w:val="24"/>
          <w:szCs w:val="24"/>
        </w:rPr>
      </w:pPr>
    </w:p>
    <w:p w14:paraId="11F74CC0" w14:textId="77777777" w:rsidR="00547329" w:rsidRDefault="00547329" w:rsidP="00547329">
      <w:pPr>
        <w:spacing w:after="0"/>
        <w:rPr>
          <w:rFonts w:ascii="Arial" w:hAnsi="Arial" w:cs="Arial"/>
          <w:sz w:val="24"/>
          <w:szCs w:val="24"/>
        </w:rPr>
      </w:pPr>
    </w:p>
    <w:p w14:paraId="574823D6" w14:textId="77777777" w:rsidR="00547329" w:rsidRDefault="00547329" w:rsidP="00547329">
      <w:pPr>
        <w:spacing w:after="0"/>
        <w:rPr>
          <w:rFonts w:ascii="Arial" w:hAnsi="Arial" w:cs="Arial"/>
          <w:sz w:val="24"/>
          <w:szCs w:val="24"/>
        </w:rPr>
      </w:pPr>
    </w:p>
    <w:p w14:paraId="0593AA87" w14:textId="77777777" w:rsidR="00547329" w:rsidRDefault="00547329" w:rsidP="00547329">
      <w:pPr>
        <w:spacing w:after="0"/>
        <w:rPr>
          <w:rFonts w:ascii="Arial" w:hAnsi="Arial" w:cs="Arial"/>
          <w:sz w:val="24"/>
          <w:szCs w:val="24"/>
        </w:rPr>
      </w:pPr>
    </w:p>
    <w:p w14:paraId="0D01B218" w14:textId="77777777" w:rsidR="00547329" w:rsidRDefault="00547329" w:rsidP="00547329">
      <w:pPr>
        <w:spacing w:after="0"/>
        <w:rPr>
          <w:rFonts w:ascii="Arial" w:hAnsi="Arial" w:cs="Arial"/>
          <w:sz w:val="24"/>
          <w:szCs w:val="24"/>
        </w:rPr>
      </w:pPr>
    </w:p>
    <w:p w14:paraId="151A0D46" w14:textId="77777777" w:rsidR="00547329" w:rsidRDefault="00547329" w:rsidP="00547329">
      <w:pPr>
        <w:spacing w:after="0"/>
        <w:rPr>
          <w:rFonts w:ascii="Arial" w:hAnsi="Arial" w:cs="Arial"/>
          <w:sz w:val="24"/>
          <w:szCs w:val="24"/>
        </w:rPr>
      </w:pPr>
    </w:p>
    <w:p w14:paraId="237C0601" w14:textId="77777777" w:rsidR="00547329" w:rsidRPr="008D439C" w:rsidRDefault="00547329" w:rsidP="00547329">
      <w:pPr>
        <w:spacing w:after="0"/>
        <w:rPr>
          <w:rFonts w:ascii="Arial" w:hAnsi="Arial" w:cs="Arial"/>
          <w:sz w:val="24"/>
          <w:szCs w:val="24"/>
        </w:rPr>
      </w:pPr>
    </w:p>
    <w:p w14:paraId="41E737F7" w14:textId="77777777" w:rsidR="00B91190" w:rsidRPr="008D439C" w:rsidRDefault="00B91190" w:rsidP="00387B3F">
      <w:pPr>
        <w:spacing w:after="0"/>
        <w:rPr>
          <w:rFonts w:ascii="Arial" w:hAnsi="Arial" w:cs="Arial"/>
          <w:sz w:val="24"/>
          <w:szCs w:val="24"/>
        </w:rPr>
      </w:pPr>
    </w:p>
    <w:p w14:paraId="720453D5" w14:textId="61EDF75A" w:rsidR="00434B28" w:rsidRPr="008D439C" w:rsidRDefault="00B91190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lastRenderedPageBreak/>
        <w:t xml:space="preserve">Rashodi za nabavu </w:t>
      </w:r>
      <w:r w:rsidR="00E21E11" w:rsidRPr="008D439C">
        <w:rPr>
          <w:rFonts w:ascii="Arial" w:hAnsi="Arial" w:cs="Arial"/>
          <w:sz w:val="24"/>
          <w:szCs w:val="24"/>
        </w:rPr>
        <w:t>proizvedne dugotrajne imovine</w:t>
      </w:r>
    </w:p>
    <w:p w14:paraId="44F7DE6F" w14:textId="77777777" w:rsidR="00434B28" w:rsidRPr="008D439C" w:rsidRDefault="00434B28" w:rsidP="00387B3F">
      <w:pPr>
        <w:spacing w:after="0"/>
        <w:rPr>
          <w:rFonts w:ascii="Arial" w:hAnsi="Arial" w:cs="Arial"/>
          <w:sz w:val="24"/>
          <w:szCs w:val="24"/>
        </w:rPr>
      </w:pPr>
    </w:p>
    <w:p w14:paraId="0736E23C" w14:textId="313F1811" w:rsidR="00033AE4" w:rsidRPr="008D439C" w:rsidRDefault="00434B28" w:rsidP="00A37E5B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8D439C">
        <w:rPr>
          <w:rFonts w:ascii="Arial" w:hAnsi="Arial" w:cs="Arial"/>
          <w:sz w:val="24"/>
          <w:szCs w:val="24"/>
        </w:rPr>
        <w:t>Navedeni rashodi p</w:t>
      </w:r>
      <w:r w:rsidR="00B51666">
        <w:rPr>
          <w:rFonts w:ascii="Arial" w:hAnsi="Arial" w:cs="Arial"/>
          <w:sz w:val="24"/>
          <w:szCs w:val="24"/>
        </w:rPr>
        <w:t>l</w:t>
      </w:r>
      <w:r w:rsidR="005673A2" w:rsidRPr="008D439C">
        <w:rPr>
          <w:rFonts w:ascii="Arial" w:hAnsi="Arial" w:cs="Arial"/>
          <w:sz w:val="24"/>
          <w:szCs w:val="24"/>
        </w:rPr>
        <w:t xml:space="preserve">anirani su u iznosu od </w:t>
      </w:r>
      <w:r w:rsidR="00CB45D3">
        <w:rPr>
          <w:rFonts w:ascii="Arial" w:hAnsi="Arial" w:cs="Arial"/>
          <w:sz w:val="24"/>
          <w:szCs w:val="24"/>
        </w:rPr>
        <w:t>50.000,00</w:t>
      </w:r>
      <w:r w:rsidR="001C1B5A" w:rsidRPr="008D439C">
        <w:rPr>
          <w:rFonts w:ascii="Arial" w:hAnsi="Arial" w:cs="Arial"/>
          <w:sz w:val="24"/>
          <w:szCs w:val="24"/>
        </w:rPr>
        <w:t xml:space="preserve"> eura</w:t>
      </w:r>
      <w:r w:rsidR="006A1F5E" w:rsidRPr="008D439C">
        <w:rPr>
          <w:rFonts w:ascii="Arial" w:hAnsi="Arial" w:cs="Arial"/>
          <w:sz w:val="24"/>
          <w:szCs w:val="24"/>
        </w:rPr>
        <w:t xml:space="preserve">, a izvršeni su u iznosu </w:t>
      </w:r>
      <w:r w:rsidR="00CB45D3">
        <w:rPr>
          <w:rFonts w:ascii="Arial" w:hAnsi="Arial" w:cs="Arial"/>
          <w:sz w:val="24"/>
          <w:szCs w:val="24"/>
        </w:rPr>
        <w:t>24.320,03 eura ili 48,64</w:t>
      </w:r>
      <w:r w:rsidR="001C1B5A" w:rsidRPr="008D439C">
        <w:rPr>
          <w:rFonts w:ascii="Arial" w:hAnsi="Arial" w:cs="Arial"/>
          <w:sz w:val="24"/>
          <w:szCs w:val="24"/>
        </w:rPr>
        <w:t xml:space="preserve"> </w:t>
      </w:r>
      <w:r w:rsidR="00EF3B24" w:rsidRPr="008D439C">
        <w:rPr>
          <w:rFonts w:ascii="Arial" w:hAnsi="Arial" w:cs="Arial"/>
          <w:sz w:val="24"/>
          <w:szCs w:val="24"/>
        </w:rPr>
        <w:t>%</w:t>
      </w:r>
      <w:r w:rsidR="00B51666">
        <w:rPr>
          <w:rFonts w:ascii="Arial" w:hAnsi="Arial" w:cs="Arial"/>
          <w:sz w:val="24"/>
          <w:szCs w:val="24"/>
        </w:rPr>
        <w:t xml:space="preserve"> u odnosu na tekući plan</w:t>
      </w:r>
      <w:r w:rsidR="0009023B" w:rsidRPr="008D439C">
        <w:rPr>
          <w:rFonts w:ascii="Arial" w:hAnsi="Arial" w:cs="Arial"/>
          <w:sz w:val="24"/>
          <w:szCs w:val="24"/>
        </w:rPr>
        <w:t>, a odnose se na rashode za</w:t>
      </w:r>
      <w:r w:rsidR="00EC0405" w:rsidRPr="008D439C">
        <w:rPr>
          <w:rFonts w:ascii="Arial" w:hAnsi="Arial" w:cs="Arial"/>
          <w:sz w:val="24"/>
          <w:szCs w:val="24"/>
        </w:rPr>
        <w:t xml:space="preserve"> otplatu </w:t>
      </w:r>
      <w:r w:rsidR="00D95B11" w:rsidRPr="008D439C">
        <w:rPr>
          <w:rFonts w:ascii="Arial" w:hAnsi="Arial" w:cs="Arial"/>
          <w:sz w:val="24"/>
          <w:szCs w:val="24"/>
        </w:rPr>
        <w:t xml:space="preserve">glavnice financijskog </w:t>
      </w:r>
      <w:r w:rsidR="00EA2F93" w:rsidRPr="008D439C">
        <w:rPr>
          <w:rFonts w:ascii="Arial" w:hAnsi="Arial" w:cs="Arial"/>
          <w:sz w:val="24"/>
          <w:szCs w:val="24"/>
        </w:rPr>
        <w:t>leasing</w:t>
      </w:r>
      <w:r w:rsidR="00D95B11" w:rsidRPr="008D439C">
        <w:rPr>
          <w:rFonts w:ascii="Arial" w:hAnsi="Arial" w:cs="Arial"/>
          <w:sz w:val="24"/>
          <w:szCs w:val="24"/>
        </w:rPr>
        <w:t>a</w:t>
      </w:r>
      <w:r w:rsidR="00CB45D3">
        <w:rPr>
          <w:rFonts w:ascii="Arial" w:hAnsi="Arial" w:cs="Arial"/>
          <w:sz w:val="24"/>
          <w:szCs w:val="24"/>
        </w:rPr>
        <w:t xml:space="preserve"> za više službenih</w:t>
      </w:r>
      <w:r w:rsidR="00EA2F93" w:rsidRPr="008D439C">
        <w:rPr>
          <w:rFonts w:ascii="Arial" w:hAnsi="Arial" w:cs="Arial"/>
          <w:sz w:val="24"/>
          <w:szCs w:val="24"/>
        </w:rPr>
        <w:t xml:space="preserve"> vozila</w:t>
      </w:r>
      <w:r w:rsidR="00B0630C" w:rsidRPr="008D439C">
        <w:rPr>
          <w:rFonts w:ascii="Arial" w:hAnsi="Arial" w:cs="Arial"/>
          <w:sz w:val="24"/>
          <w:szCs w:val="24"/>
        </w:rPr>
        <w:t xml:space="preserve"> </w:t>
      </w:r>
      <w:r w:rsidR="00932FAA">
        <w:rPr>
          <w:rFonts w:ascii="Arial" w:hAnsi="Arial" w:cs="Arial"/>
          <w:sz w:val="24"/>
          <w:szCs w:val="24"/>
        </w:rPr>
        <w:t>i</w:t>
      </w:r>
      <w:r w:rsidR="00B0630C" w:rsidRPr="008D439C">
        <w:rPr>
          <w:rFonts w:ascii="Arial" w:hAnsi="Arial" w:cs="Arial"/>
          <w:sz w:val="24"/>
          <w:szCs w:val="24"/>
        </w:rPr>
        <w:t xml:space="preserve"> rashode za </w:t>
      </w:r>
      <w:r w:rsidR="006335A1">
        <w:rPr>
          <w:rFonts w:ascii="Arial" w:hAnsi="Arial" w:cs="Arial"/>
          <w:sz w:val="24"/>
          <w:szCs w:val="24"/>
        </w:rPr>
        <w:t xml:space="preserve">kupnju uredske opreme i namještaja, </w:t>
      </w:r>
      <w:r w:rsidR="00033AE4" w:rsidRPr="008D439C">
        <w:rPr>
          <w:rFonts w:ascii="Arial" w:hAnsi="Arial" w:cs="Arial"/>
          <w:sz w:val="24"/>
          <w:szCs w:val="24"/>
        </w:rPr>
        <w:t xml:space="preserve"> opreme za održavanje i zaštitu.</w:t>
      </w:r>
      <w:r w:rsidR="006335A1">
        <w:rPr>
          <w:rFonts w:ascii="Arial" w:hAnsi="Arial" w:cs="Arial"/>
          <w:sz w:val="24"/>
          <w:szCs w:val="24"/>
        </w:rPr>
        <w:t xml:space="preserve"> </w:t>
      </w:r>
      <w:r w:rsidR="002E0AAB">
        <w:rPr>
          <w:rFonts w:ascii="Arial" w:hAnsi="Arial" w:cs="Arial"/>
          <w:sz w:val="24"/>
          <w:szCs w:val="24"/>
        </w:rPr>
        <w:t xml:space="preserve">Do vrijednosno značajnijeg izvršenja rashoda za nabavu proizvedene dugotrajne imovine došlo je radi preseljenja </w:t>
      </w:r>
      <w:r w:rsidR="002E0AAB" w:rsidRPr="00104AEC">
        <w:rPr>
          <w:rFonts w:ascii="Arial" w:hAnsi="Arial" w:cs="Arial"/>
          <w:sz w:val="24"/>
          <w:szCs w:val="24"/>
        </w:rPr>
        <w:t>Državno</w:t>
      </w:r>
      <w:r w:rsidR="002E0AAB">
        <w:rPr>
          <w:rFonts w:ascii="Arial" w:hAnsi="Arial" w:cs="Arial"/>
          <w:sz w:val="24"/>
          <w:szCs w:val="24"/>
        </w:rPr>
        <w:t>g odvjetništva</w:t>
      </w:r>
      <w:r w:rsidR="00932FAA">
        <w:rPr>
          <w:rFonts w:ascii="Arial" w:hAnsi="Arial" w:cs="Arial"/>
          <w:sz w:val="24"/>
          <w:szCs w:val="24"/>
        </w:rPr>
        <w:t xml:space="preserve">, </w:t>
      </w:r>
      <w:r w:rsidR="002E0AAB" w:rsidRPr="00104AEC">
        <w:rPr>
          <w:rFonts w:ascii="Arial" w:hAnsi="Arial" w:cs="Arial"/>
          <w:sz w:val="24"/>
          <w:szCs w:val="24"/>
        </w:rPr>
        <w:t>Ured</w:t>
      </w:r>
      <w:r w:rsidR="002E0AAB">
        <w:rPr>
          <w:rFonts w:ascii="Arial" w:hAnsi="Arial" w:cs="Arial"/>
          <w:sz w:val="24"/>
          <w:szCs w:val="24"/>
        </w:rPr>
        <w:t>a</w:t>
      </w:r>
      <w:r w:rsidR="002E0AAB" w:rsidRPr="00104AEC">
        <w:rPr>
          <w:rFonts w:ascii="Arial" w:hAnsi="Arial" w:cs="Arial"/>
          <w:sz w:val="24"/>
          <w:szCs w:val="24"/>
        </w:rPr>
        <w:t xml:space="preserve"> za suzbijanje korupcij</w:t>
      </w:r>
      <w:r w:rsidR="002E0AAB">
        <w:rPr>
          <w:rFonts w:ascii="Arial" w:hAnsi="Arial" w:cs="Arial"/>
          <w:sz w:val="24"/>
          <w:szCs w:val="24"/>
        </w:rPr>
        <w:t>e i ograniziranog kriminaliteta</w:t>
      </w:r>
      <w:r w:rsidR="00E5476E">
        <w:rPr>
          <w:rFonts w:ascii="Arial" w:hAnsi="Arial" w:cs="Arial"/>
          <w:sz w:val="24"/>
          <w:szCs w:val="24"/>
        </w:rPr>
        <w:t xml:space="preserve"> </w:t>
      </w:r>
      <w:r w:rsidR="00A92635">
        <w:rPr>
          <w:rFonts w:ascii="Arial" w:hAnsi="Arial" w:cs="Arial"/>
          <w:sz w:val="24"/>
          <w:szCs w:val="24"/>
        </w:rPr>
        <w:t xml:space="preserve">u nove prostorije. </w:t>
      </w:r>
      <w:r w:rsidR="00E5476E">
        <w:rPr>
          <w:rFonts w:ascii="Arial" w:hAnsi="Arial" w:cs="Arial"/>
          <w:sz w:val="24"/>
          <w:szCs w:val="24"/>
        </w:rPr>
        <w:t xml:space="preserve"> </w:t>
      </w:r>
    </w:p>
    <w:p w14:paraId="45221300" w14:textId="77777777" w:rsidR="0080525C" w:rsidRPr="008D439C" w:rsidRDefault="0080525C" w:rsidP="00387B3F">
      <w:pPr>
        <w:spacing w:after="0"/>
        <w:rPr>
          <w:rFonts w:ascii="Arial" w:hAnsi="Arial" w:cs="Arial"/>
          <w:sz w:val="24"/>
          <w:szCs w:val="24"/>
        </w:rPr>
      </w:pPr>
    </w:p>
    <w:p w14:paraId="63A4CA35" w14:textId="77777777" w:rsidR="00564DAC" w:rsidRDefault="00564DAC" w:rsidP="006A6991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71919A87" w14:textId="77777777" w:rsidR="00336D4E" w:rsidRDefault="00336D4E" w:rsidP="006A6991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79E23197" w14:textId="77777777" w:rsidR="00336D4E" w:rsidRPr="008D439C" w:rsidRDefault="00336D4E" w:rsidP="006A6991">
      <w:pPr>
        <w:spacing w:after="0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72ED17B9" w14:textId="1FD8F43D" w:rsidR="003D3BD1" w:rsidRDefault="008D439C" w:rsidP="006A6991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v.d. RAVNATELJA</w:t>
      </w:r>
    </w:p>
    <w:p w14:paraId="504FFA2C" w14:textId="77777777" w:rsidR="008D439C" w:rsidRDefault="008D439C" w:rsidP="006A6991">
      <w:pPr>
        <w:ind w:left="2836" w:firstLine="709"/>
        <w:jc w:val="center"/>
        <w:rPr>
          <w:rFonts w:ascii="Arial" w:hAnsi="Arial" w:cs="Arial"/>
          <w:sz w:val="24"/>
          <w:szCs w:val="24"/>
        </w:rPr>
      </w:pPr>
    </w:p>
    <w:p w14:paraId="075D42D1" w14:textId="5C01E8E1" w:rsidR="008D439C" w:rsidRPr="008D439C" w:rsidRDefault="008D439C" w:rsidP="006A6991">
      <w:pPr>
        <w:ind w:left="2836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Sven Mišković</w:t>
      </w:r>
    </w:p>
    <w:sectPr w:rsidR="008D439C" w:rsidRPr="008D439C" w:rsidSect="00B22582">
      <w:headerReference w:type="default" r:id="rId8"/>
      <w:footerReference w:type="default" r:id="rId9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0966F" w14:textId="77777777" w:rsidR="002C30B4" w:rsidRDefault="002C30B4" w:rsidP="00F352E6">
      <w:r>
        <w:separator/>
      </w:r>
    </w:p>
  </w:endnote>
  <w:endnote w:type="continuationSeparator" w:id="0">
    <w:p w14:paraId="7D3A598C" w14:textId="77777777" w:rsidR="002C30B4" w:rsidRDefault="002C30B4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A23D6" w14:textId="33AD5B65" w:rsidR="00966FE6" w:rsidRPr="00D769ED" w:rsidRDefault="00966FE6" w:rsidP="008D5592">
    <w:pPr>
      <w:pStyle w:val="Podnoje"/>
      <w:pBdr>
        <w:top w:val="none" w:sz="0" w:space="0" w:color="auto"/>
      </w:pBdr>
      <w:jc w:val="right"/>
      <w:rPr>
        <w:sz w:val="16"/>
        <w:szCs w:val="16"/>
      </w:rPr>
    </w:pPr>
    <w:r w:rsidRPr="008D5592">
      <w:rPr>
        <w:sz w:val="16"/>
        <w:szCs w:val="16"/>
      </w:rPr>
      <w:fldChar w:fldCharType="begin"/>
    </w:r>
    <w:r w:rsidRPr="008D5592">
      <w:rPr>
        <w:sz w:val="16"/>
        <w:szCs w:val="16"/>
      </w:rPr>
      <w:instrText>PAGE   \* MERGEFORMAT</w:instrText>
    </w:r>
    <w:r w:rsidRPr="008D5592">
      <w:rPr>
        <w:sz w:val="16"/>
        <w:szCs w:val="16"/>
      </w:rPr>
      <w:fldChar w:fldCharType="separate"/>
    </w:r>
    <w:r w:rsidR="00336D4E" w:rsidRPr="00336D4E">
      <w:rPr>
        <w:noProof/>
        <w:sz w:val="16"/>
        <w:szCs w:val="16"/>
        <w:lang w:val="hr-HR"/>
      </w:rPr>
      <w:t>3</w:t>
    </w:r>
    <w:r w:rsidRPr="008D55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9ACD3" w14:textId="77777777" w:rsidR="002C30B4" w:rsidRDefault="002C30B4" w:rsidP="00F352E6">
      <w:r>
        <w:separator/>
      </w:r>
    </w:p>
  </w:footnote>
  <w:footnote w:type="continuationSeparator" w:id="0">
    <w:p w14:paraId="195B27B0" w14:textId="77777777" w:rsidR="002C30B4" w:rsidRDefault="002C30B4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BDB0B" w14:textId="77777777" w:rsidR="00966FE6" w:rsidRDefault="00966FE6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76"/>
    <w:rsid w:val="00000137"/>
    <w:rsid w:val="00003CE0"/>
    <w:rsid w:val="00013A1A"/>
    <w:rsid w:val="00013EC1"/>
    <w:rsid w:val="0001491D"/>
    <w:rsid w:val="0002042D"/>
    <w:rsid w:val="00025063"/>
    <w:rsid w:val="0002533C"/>
    <w:rsid w:val="00030B1C"/>
    <w:rsid w:val="00031BE0"/>
    <w:rsid w:val="00033AE4"/>
    <w:rsid w:val="000352D6"/>
    <w:rsid w:val="00046C29"/>
    <w:rsid w:val="00050757"/>
    <w:rsid w:val="00051F00"/>
    <w:rsid w:val="00055DBB"/>
    <w:rsid w:val="000567C6"/>
    <w:rsid w:val="00056CB8"/>
    <w:rsid w:val="00077CEA"/>
    <w:rsid w:val="0008297D"/>
    <w:rsid w:val="00084336"/>
    <w:rsid w:val="00085069"/>
    <w:rsid w:val="000856FB"/>
    <w:rsid w:val="0009023B"/>
    <w:rsid w:val="00095DEA"/>
    <w:rsid w:val="000A057C"/>
    <w:rsid w:val="000B3780"/>
    <w:rsid w:val="000B4507"/>
    <w:rsid w:val="000B506D"/>
    <w:rsid w:val="000C02FD"/>
    <w:rsid w:val="000C0A6C"/>
    <w:rsid w:val="000C0BD4"/>
    <w:rsid w:val="000C31CD"/>
    <w:rsid w:val="000C5204"/>
    <w:rsid w:val="000C6382"/>
    <w:rsid w:val="000D2CA0"/>
    <w:rsid w:val="000E0ADE"/>
    <w:rsid w:val="000F0044"/>
    <w:rsid w:val="000F2E4A"/>
    <w:rsid w:val="000F648D"/>
    <w:rsid w:val="000F6FBC"/>
    <w:rsid w:val="0010225E"/>
    <w:rsid w:val="00104AEC"/>
    <w:rsid w:val="00106D74"/>
    <w:rsid w:val="0010779D"/>
    <w:rsid w:val="001124DD"/>
    <w:rsid w:val="0012088F"/>
    <w:rsid w:val="00120DC9"/>
    <w:rsid w:val="0012448A"/>
    <w:rsid w:val="0013155A"/>
    <w:rsid w:val="00142635"/>
    <w:rsid w:val="0015073B"/>
    <w:rsid w:val="00152405"/>
    <w:rsid w:val="00152AF0"/>
    <w:rsid w:val="00152CA7"/>
    <w:rsid w:val="00156411"/>
    <w:rsid w:val="0016117B"/>
    <w:rsid w:val="00161B1A"/>
    <w:rsid w:val="00165505"/>
    <w:rsid w:val="00167773"/>
    <w:rsid w:val="00174182"/>
    <w:rsid w:val="0017490A"/>
    <w:rsid w:val="001750BB"/>
    <w:rsid w:val="00180CB1"/>
    <w:rsid w:val="00183561"/>
    <w:rsid w:val="0019634E"/>
    <w:rsid w:val="001A2CB3"/>
    <w:rsid w:val="001A3F9F"/>
    <w:rsid w:val="001A555D"/>
    <w:rsid w:val="001A6AC7"/>
    <w:rsid w:val="001B20AC"/>
    <w:rsid w:val="001B229D"/>
    <w:rsid w:val="001B7F0E"/>
    <w:rsid w:val="001C1B5A"/>
    <w:rsid w:val="001C2064"/>
    <w:rsid w:val="001C2834"/>
    <w:rsid w:val="001C2850"/>
    <w:rsid w:val="001C438E"/>
    <w:rsid w:val="001C4AB7"/>
    <w:rsid w:val="001C7E60"/>
    <w:rsid w:val="001D52AC"/>
    <w:rsid w:val="001D6363"/>
    <w:rsid w:val="001E10FB"/>
    <w:rsid w:val="001E1DE5"/>
    <w:rsid w:val="001E5246"/>
    <w:rsid w:val="001E5FF8"/>
    <w:rsid w:val="001E610E"/>
    <w:rsid w:val="001E76C8"/>
    <w:rsid w:val="001F2FFC"/>
    <w:rsid w:val="00200C32"/>
    <w:rsid w:val="00205229"/>
    <w:rsid w:val="00205A3D"/>
    <w:rsid w:val="00207BCE"/>
    <w:rsid w:val="00207D6C"/>
    <w:rsid w:val="002122AA"/>
    <w:rsid w:val="00213C6C"/>
    <w:rsid w:val="002146D9"/>
    <w:rsid w:val="00215C34"/>
    <w:rsid w:val="00236C48"/>
    <w:rsid w:val="002371E6"/>
    <w:rsid w:val="00247D67"/>
    <w:rsid w:val="00261075"/>
    <w:rsid w:val="00262967"/>
    <w:rsid w:val="00263708"/>
    <w:rsid w:val="00265296"/>
    <w:rsid w:val="0027042C"/>
    <w:rsid w:val="00271F6F"/>
    <w:rsid w:val="0027201C"/>
    <w:rsid w:val="002730ED"/>
    <w:rsid w:val="00290912"/>
    <w:rsid w:val="0029760F"/>
    <w:rsid w:val="002A2994"/>
    <w:rsid w:val="002B2AC6"/>
    <w:rsid w:val="002B3AA4"/>
    <w:rsid w:val="002B3D4B"/>
    <w:rsid w:val="002C30B4"/>
    <w:rsid w:val="002C4172"/>
    <w:rsid w:val="002C4362"/>
    <w:rsid w:val="002D0964"/>
    <w:rsid w:val="002D0CFE"/>
    <w:rsid w:val="002D17ED"/>
    <w:rsid w:val="002D46DA"/>
    <w:rsid w:val="002D65B4"/>
    <w:rsid w:val="002E03AC"/>
    <w:rsid w:val="002E0AAB"/>
    <w:rsid w:val="002E5ED4"/>
    <w:rsid w:val="002E6710"/>
    <w:rsid w:val="002F0A69"/>
    <w:rsid w:val="002F107B"/>
    <w:rsid w:val="002F5D6E"/>
    <w:rsid w:val="00302F3F"/>
    <w:rsid w:val="00311AA1"/>
    <w:rsid w:val="0031268E"/>
    <w:rsid w:val="00313B67"/>
    <w:rsid w:val="003142ED"/>
    <w:rsid w:val="0031790B"/>
    <w:rsid w:val="00317AF9"/>
    <w:rsid w:val="00323884"/>
    <w:rsid w:val="00324BB9"/>
    <w:rsid w:val="00324CFC"/>
    <w:rsid w:val="00327BE1"/>
    <w:rsid w:val="00330C70"/>
    <w:rsid w:val="00330E49"/>
    <w:rsid w:val="00334085"/>
    <w:rsid w:val="00334493"/>
    <w:rsid w:val="00336D4E"/>
    <w:rsid w:val="00343D9C"/>
    <w:rsid w:val="00344CE1"/>
    <w:rsid w:val="00361C39"/>
    <w:rsid w:val="00365F65"/>
    <w:rsid w:val="00370F6B"/>
    <w:rsid w:val="00372C6E"/>
    <w:rsid w:val="00374A33"/>
    <w:rsid w:val="00375095"/>
    <w:rsid w:val="0037513D"/>
    <w:rsid w:val="00375708"/>
    <w:rsid w:val="00376FCB"/>
    <w:rsid w:val="00381751"/>
    <w:rsid w:val="00382225"/>
    <w:rsid w:val="00386953"/>
    <w:rsid w:val="00387419"/>
    <w:rsid w:val="00387B3F"/>
    <w:rsid w:val="003964FA"/>
    <w:rsid w:val="00397EB5"/>
    <w:rsid w:val="003A4059"/>
    <w:rsid w:val="003A49EB"/>
    <w:rsid w:val="003A4F39"/>
    <w:rsid w:val="003A578B"/>
    <w:rsid w:val="003C2B23"/>
    <w:rsid w:val="003C43FE"/>
    <w:rsid w:val="003C4BC7"/>
    <w:rsid w:val="003D186F"/>
    <w:rsid w:val="003D1902"/>
    <w:rsid w:val="003D3BD1"/>
    <w:rsid w:val="003E1EC3"/>
    <w:rsid w:val="003E4477"/>
    <w:rsid w:val="003E75BD"/>
    <w:rsid w:val="003F0348"/>
    <w:rsid w:val="003F2027"/>
    <w:rsid w:val="003F2318"/>
    <w:rsid w:val="003F6610"/>
    <w:rsid w:val="00414397"/>
    <w:rsid w:val="004321F9"/>
    <w:rsid w:val="00432CD7"/>
    <w:rsid w:val="00434B28"/>
    <w:rsid w:val="00434EEE"/>
    <w:rsid w:val="0044133A"/>
    <w:rsid w:val="00442D35"/>
    <w:rsid w:val="00444468"/>
    <w:rsid w:val="00444A1F"/>
    <w:rsid w:val="00452C28"/>
    <w:rsid w:val="00456E66"/>
    <w:rsid w:val="00457CB8"/>
    <w:rsid w:val="0046109D"/>
    <w:rsid w:val="00462468"/>
    <w:rsid w:val="00462830"/>
    <w:rsid w:val="00463609"/>
    <w:rsid w:val="00464E40"/>
    <w:rsid w:val="004729A3"/>
    <w:rsid w:val="004731BC"/>
    <w:rsid w:val="00480C76"/>
    <w:rsid w:val="0048578B"/>
    <w:rsid w:val="00494C39"/>
    <w:rsid w:val="00496C22"/>
    <w:rsid w:val="004A0949"/>
    <w:rsid w:val="004A40ED"/>
    <w:rsid w:val="004A4CA8"/>
    <w:rsid w:val="004A6030"/>
    <w:rsid w:val="004B580F"/>
    <w:rsid w:val="004B63EE"/>
    <w:rsid w:val="004C01B5"/>
    <w:rsid w:val="004D53C6"/>
    <w:rsid w:val="004D72C5"/>
    <w:rsid w:val="004E1AF5"/>
    <w:rsid w:val="004E31C0"/>
    <w:rsid w:val="004E3919"/>
    <w:rsid w:val="004F3E52"/>
    <w:rsid w:val="004F6164"/>
    <w:rsid w:val="00500159"/>
    <w:rsid w:val="00503A8C"/>
    <w:rsid w:val="005219E3"/>
    <w:rsid w:val="0052289C"/>
    <w:rsid w:val="00522C64"/>
    <w:rsid w:val="00524A66"/>
    <w:rsid w:val="00526A7C"/>
    <w:rsid w:val="0054502C"/>
    <w:rsid w:val="005463D5"/>
    <w:rsid w:val="00547079"/>
    <w:rsid w:val="00547329"/>
    <w:rsid w:val="00561A39"/>
    <w:rsid w:val="00564DAC"/>
    <w:rsid w:val="00565504"/>
    <w:rsid w:val="00566209"/>
    <w:rsid w:val="00567167"/>
    <w:rsid w:val="005673A2"/>
    <w:rsid w:val="0057266A"/>
    <w:rsid w:val="00575EFD"/>
    <w:rsid w:val="00577BCD"/>
    <w:rsid w:val="00584EDB"/>
    <w:rsid w:val="00585AE3"/>
    <w:rsid w:val="005969E2"/>
    <w:rsid w:val="005A5CB3"/>
    <w:rsid w:val="005A70C0"/>
    <w:rsid w:val="005B1942"/>
    <w:rsid w:val="005B6ED7"/>
    <w:rsid w:val="005C7AA2"/>
    <w:rsid w:val="005D0D06"/>
    <w:rsid w:val="005D7084"/>
    <w:rsid w:val="005D716F"/>
    <w:rsid w:val="005E0964"/>
    <w:rsid w:val="005E2D85"/>
    <w:rsid w:val="005E3EA0"/>
    <w:rsid w:val="005E49AC"/>
    <w:rsid w:val="005F432E"/>
    <w:rsid w:val="006031B9"/>
    <w:rsid w:val="006213B7"/>
    <w:rsid w:val="00625EAB"/>
    <w:rsid w:val="006335A1"/>
    <w:rsid w:val="00633683"/>
    <w:rsid w:val="00643761"/>
    <w:rsid w:val="006439E2"/>
    <w:rsid w:val="0064554D"/>
    <w:rsid w:val="00645B8E"/>
    <w:rsid w:val="0065253B"/>
    <w:rsid w:val="00653A91"/>
    <w:rsid w:val="00655A61"/>
    <w:rsid w:val="00655A63"/>
    <w:rsid w:val="006657E2"/>
    <w:rsid w:val="00666E1F"/>
    <w:rsid w:val="00670742"/>
    <w:rsid w:val="0067112C"/>
    <w:rsid w:val="006734A4"/>
    <w:rsid w:val="00673DF3"/>
    <w:rsid w:val="00674346"/>
    <w:rsid w:val="006747F0"/>
    <w:rsid w:val="006762C8"/>
    <w:rsid w:val="00676EC1"/>
    <w:rsid w:val="00690C03"/>
    <w:rsid w:val="00690E8C"/>
    <w:rsid w:val="00691EA9"/>
    <w:rsid w:val="00697DF2"/>
    <w:rsid w:val="006A0B3F"/>
    <w:rsid w:val="006A1F5E"/>
    <w:rsid w:val="006A6991"/>
    <w:rsid w:val="006A76FB"/>
    <w:rsid w:val="006B1290"/>
    <w:rsid w:val="006B3283"/>
    <w:rsid w:val="006B47B6"/>
    <w:rsid w:val="006C0BC4"/>
    <w:rsid w:val="006D04E1"/>
    <w:rsid w:val="006D2001"/>
    <w:rsid w:val="006D22D5"/>
    <w:rsid w:val="006F354B"/>
    <w:rsid w:val="006F5A81"/>
    <w:rsid w:val="006F6554"/>
    <w:rsid w:val="006F7361"/>
    <w:rsid w:val="0070119D"/>
    <w:rsid w:val="007071E7"/>
    <w:rsid w:val="00714763"/>
    <w:rsid w:val="0071686C"/>
    <w:rsid w:val="00717F26"/>
    <w:rsid w:val="007203DB"/>
    <w:rsid w:val="00725207"/>
    <w:rsid w:val="007341BA"/>
    <w:rsid w:val="00744B07"/>
    <w:rsid w:val="0074652F"/>
    <w:rsid w:val="00754356"/>
    <w:rsid w:val="00761896"/>
    <w:rsid w:val="0076266D"/>
    <w:rsid w:val="007665AA"/>
    <w:rsid w:val="00767E5D"/>
    <w:rsid w:val="00776730"/>
    <w:rsid w:val="007767E9"/>
    <w:rsid w:val="00777AAD"/>
    <w:rsid w:val="00777BF3"/>
    <w:rsid w:val="007869F3"/>
    <w:rsid w:val="007959D5"/>
    <w:rsid w:val="00795CA6"/>
    <w:rsid w:val="007A193E"/>
    <w:rsid w:val="007A4942"/>
    <w:rsid w:val="007A70CA"/>
    <w:rsid w:val="007A7E05"/>
    <w:rsid w:val="007A7E45"/>
    <w:rsid w:val="007B1EA2"/>
    <w:rsid w:val="007B2FE3"/>
    <w:rsid w:val="007C202B"/>
    <w:rsid w:val="007C45A9"/>
    <w:rsid w:val="007D0BA4"/>
    <w:rsid w:val="007D1C46"/>
    <w:rsid w:val="007D2E12"/>
    <w:rsid w:val="007D395B"/>
    <w:rsid w:val="007D4430"/>
    <w:rsid w:val="007D6123"/>
    <w:rsid w:val="007D6785"/>
    <w:rsid w:val="007E2B6E"/>
    <w:rsid w:val="007E2B9C"/>
    <w:rsid w:val="007F19C3"/>
    <w:rsid w:val="00800107"/>
    <w:rsid w:val="008026DD"/>
    <w:rsid w:val="00805223"/>
    <w:rsid w:val="0080525C"/>
    <w:rsid w:val="008076DE"/>
    <w:rsid w:val="00807F47"/>
    <w:rsid w:val="008124A9"/>
    <w:rsid w:val="008173AD"/>
    <w:rsid w:val="00817FBD"/>
    <w:rsid w:val="00821541"/>
    <w:rsid w:val="00821582"/>
    <w:rsid w:val="00830B46"/>
    <w:rsid w:val="008359EF"/>
    <w:rsid w:val="00845EB5"/>
    <w:rsid w:val="0084634F"/>
    <w:rsid w:val="00847495"/>
    <w:rsid w:val="0085348D"/>
    <w:rsid w:val="00855650"/>
    <w:rsid w:val="008636E2"/>
    <w:rsid w:val="00864414"/>
    <w:rsid w:val="00864ACB"/>
    <w:rsid w:val="00865EBA"/>
    <w:rsid w:val="00865EFF"/>
    <w:rsid w:val="00875DFF"/>
    <w:rsid w:val="00885708"/>
    <w:rsid w:val="00896404"/>
    <w:rsid w:val="008A2FD2"/>
    <w:rsid w:val="008A3ED1"/>
    <w:rsid w:val="008A7E2A"/>
    <w:rsid w:val="008B5356"/>
    <w:rsid w:val="008B783F"/>
    <w:rsid w:val="008C273E"/>
    <w:rsid w:val="008C3182"/>
    <w:rsid w:val="008C4232"/>
    <w:rsid w:val="008D439C"/>
    <w:rsid w:val="008D4E8C"/>
    <w:rsid w:val="008D5592"/>
    <w:rsid w:val="008F44B2"/>
    <w:rsid w:val="008F5BD1"/>
    <w:rsid w:val="0090335A"/>
    <w:rsid w:val="00906D36"/>
    <w:rsid w:val="00912A49"/>
    <w:rsid w:val="009214D7"/>
    <w:rsid w:val="00924ECE"/>
    <w:rsid w:val="00930E23"/>
    <w:rsid w:val="00931C13"/>
    <w:rsid w:val="00932FAA"/>
    <w:rsid w:val="00933CBD"/>
    <w:rsid w:val="009347AD"/>
    <w:rsid w:val="00935819"/>
    <w:rsid w:val="009359F2"/>
    <w:rsid w:val="0093696B"/>
    <w:rsid w:val="0094382E"/>
    <w:rsid w:val="00951B1A"/>
    <w:rsid w:val="00954FF0"/>
    <w:rsid w:val="0095662D"/>
    <w:rsid w:val="00966FE6"/>
    <w:rsid w:val="00972978"/>
    <w:rsid w:val="009771D9"/>
    <w:rsid w:val="009843E1"/>
    <w:rsid w:val="00984B96"/>
    <w:rsid w:val="00985867"/>
    <w:rsid w:val="009932AC"/>
    <w:rsid w:val="00995A72"/>
    <w:rsid w:val="009A26A8"/>
    <w:rsid w:val="009B16E9"/>
    <w:rsid w:val="009C421A"/>
    <w:rsid w:val="009C5B64"/>
    <w:rsid w:val="009D6D45"/>
    <w:rsid w:val="009E250D"/>
    <w:rsid w:val="009E3243"/>
    <w:rsid w:val="009E33D3"/>
    <w:rsid w:val="009E340D"/>
    <w:rsid w:val="00A01D50"/>
    <w:rsid w:val="00A021A2"/>
    <w:rsid w:val="00A04F93"/>
    <w:rsid w:val="00A05344"/>
    <w:rsid w:val="00A077C2"/>
    <w:rsid w:val="00A1087F"/>
    <w:rsid w:val="00A24493"/>
    <w:rsid w:val="00A320E5"/>
    <w:rsid w:val="00A32A21"/>
    <w:rsid w:val="00A3319F"/>
    <w:rsid w:val="00A33B89"/>
    <w:rsid w:val="00A37E5B"/>
    <w:rsid w:val="00A400F3"/>
    <w:rsid w:val="00A41246"/>
    <w:rsid w:val="00A47382"/>
    <w:rsid w:val="00A50FFA"/>
    <w:rsid w:val="00A537FA"/>
    <w:rsid w:val="00A60986"/>
    <w:rsid w:val="00A60DB0"/>
    <w:rsid w:val="00A6611A"/>
    <w:rsid w:val="00A70582"/>
    <w:rsid w:val="00A729C9"/>
    <w:rsid w:val="00A73236"/>
    <w:rsid w:val="00A86EA8"/>
    <w:rsid w:val="00A87D3F"/>
    <w:rsid w:val="00A92635"/>
    <w:rsid w:val="00A93422"/>
    <w:rsid w:val="00A94C3F"/>
    <w:rsid w:val="00A96742"/>
    <w:rsid w:val="00AA0C5F"/>
    <w:rsid w:val="00AA5908"/>
    <w:rsid w:val="00AB5FEA"/>
    <w:rsid w:val="00AB7B4E"/>
    <w:rsid w:val="00AC0167"/>
    <w:rsid w:val="00AC128F"/>
    <w:rsid w:val="00AC4827"/>
    <w:rsid w:val="00AC5B5C"/>
    <w:rsid w:val="00AD2190"/>
    <w:rsid w:val="00AD5337"/>
    <w:rsid w:val="00AD62D6"/>
    <w:rsid w:val="00AE1E5C"/>
    <w:rsid w:val="00AE496F"/>
    <w:rsid w:val="00AF3397"/>
    <w:rsid w:val="00AF640E"/>
    <w:rsid w:val="00AF6BF9"/>
    <w:rsid w:val="00AF7D13"/>
    <w:rsid w:val="00B0630C"/>
    <w:rsid w:val="00B07F0C"/>
    <w:rsid w:val="00B15311"/>
    <w:rsid w:val="00B15946"/>
    <w:rsid w:val="00B22582"/>
    <w:rsid w:val="00B239D2"/>
    <w:rsid w:val="00B26EA8"/>
    <w:rsid w:val="00B2737F"/>
    <w:rsid w:val="00B31E2E"/>
    <w:rsid w:val="00B40B1E"/>
    <w:rsid w:val="00B41BF8"/>
    <w:rsid w:val="00B41E44"/>
    <w:rsid w:val="00B44D01"/>
    <w:rsid w:val="00B44E13"/>
    <w:rsid w:val="00B47E6F"/>
    <w:rsid w:val="00B51666"/>
    <w:rsid w:val="00B53CA2"/>
    <w:rsid w:val="00B6199E"/>
    <w:rsid w:val="00B629A2"/>
    <w:rsid w:val="00B62D23"/>
    <w:rsid w:val="00B66899"/>
    <w:rsid w:val="00B76510"/>
    <w:rsid w:val="00B83E0E"/>
    <w:rsid w:val="00B855DE"/>
    <w:rsid w:val="00B85766"/>
    <w:rsid w:val="00B90572"/>
    <w:rsid w:val="00B91190"/>
    <w:rsid w:val="00B924BC"/>
    <w:rsid w:val="00BA487B"/>
    <w:rsid w:val="00BA7BD1"/>
    <w:rsid w:val="00BA7DD1"/>
    <w:rsid w:val="00BB642B"/>
    <w:rsid w:val="00BC18EC"/>
    <w:rsid w:val="00BC238E"/>
    <w:rsid w:val="00BC441D"/>
    <w:rsid w:val="00BC64F6"/>
    <w:rsid w:val="00BC7E73"/>
    <w:rsid w:val="00BF02E9"/>
    <w:rsid w:val="00BF3F24"/>
    <w:rsid w:val="00C00732"/>
    <w:rsid w:val="00C25D04"/>
    <w:rsid w:val="00C303BC"/>
    <w:rsid w:val="00C30AF2"/>
    <w:rsid w:val="00C328AA"/>
    <w:rsid w:val="00C34502"/>
    <w:rsid w:val="00C3462A"/>
    <w:rsid w:val="00C368C5"/>
    <w:rsid w:val="00C435E6"/>
    <w:rsid w:val="00C43636"/>
    <w:rsid w:val="00C45AFA"/>
    <w:rsid w:val="00C47B16"/>
    <w:rsid w:val="00C53B82"/>
    <w:rsid w:val="00C56A03"/>
    <w:rsid w:val="00C56B1F"/>
    <w:rsid w:val="00C7171E"/>
    <w:rsid w:val="00C738FF"/>
    <w:rsid w:val="00C746BF"/>
    <w:rsid w:val="00C7470A"/>
    <w:rsid w:val="00C83537"/>
    <w:rsid w:val="00C83999"/>
    <w:rsid w:val="00C876F9"/>
    <w:rsid w:val="00C94E9E"/>
    <w:rsid w:val="00C95F67"/>
    <w:rsid w:val="00CA16C8"/>
    <w:rsid w:val="00CA7824"/>
    <w:rsid w:val="00CB45D3"/>
    <w:rsid w:val="00CB6120"/>
    <w:rsid w:val="00CB71A9"/>
    <w:rsid w:val="00CC246F"/>
    <w:rsid w:val="00CC42E6"/>
    <w:rsid w:val="00CC58D2"/>
    <w:rsid w:val="00CD0460"/>
    <w:rsid w:val="00CD081A"/>
    <w:rsid w:val="00CD437F"/>
    <w:rsid w:val="00CD7015"/>
    <w:rsid w:val="00CE2FF7"/>
    <w:rsid w:val="00CE5125"/>
    <w:rsid w:val="00CE648D"/>
    <w:rsid w:val="00D023A3"/>
    <w:rsid w:val="00D14A20"/>
    <w:rsid w:val="00D17B40"/>
    <w:rsid w:val="00D2385F"/>
    <w:rsid w:val="00D31596"/>
    <w:rsid w:val="00D32856"/>
    <w:rsid w:val="00D4413B"/>
    <w:rsid w:val="00D445B4"/>
    <w:rsid w:val="00D51775"/>
    <w:rsid w:val="00D53DE4"/>
    <w:rsid w:val="00D54F0A"/>
    <w:rsid w:val="00D61D72"/>
    <w:rsid w:val="00D62E68"/>
    <w:rsid w:val="00D62F05"/>
    <w:rsid w:val="00D64569"/>
    <w:rsid w:val="00D75367"/>
    <w:rsid w:val="00D7741F"/>
    <w:rsid w:val="00D800E0"/>
    <w:rsid w:val="00D8321F"/>
    <w:rsid w:val="00D95046"/>
    <w:rsid w:val="00D95B11"/>
    <w:rsid w:val="00DA0A3E"/>
    <w:rsid w:val="00DA547B"/>
    <w:rsid w:val="00DB27D6"/>
    <w:rsid w:val="00DC19F9"/>
    <w:rsid w:val="00DC6740"/>
    <w:rsid w:val="00DD1A26"/>
    <w:rsid w:val="00DD58BB"/>
    <w:rsid w:val="00DE2416"/>
    <w:rsid w:val="00DE37AF"/>
    <w:rsid w:val="00DE5409"/>
    <w:rsid w:val="00E13A1A"/>
    <w:rsid w:val="00E214E2"/>
    <w:rsid w:val="00E21E11"/>
    <w:rsid w:val="00E27C5F"/>
    <w:rsid w:val="00E325BA"/>
    <w:rsid w:val="00E33940"/>
    <w:rsid w:val="00E349D5"/>
    <w:rsid w:val="00E41A2A"/>
    <w:rsid w:val="00E42E87"/>
    <w:rsid w:val="00E505E1"/>
    <w:rsid w:val="00E5476E"/>
    <w:rsid w:val="00E61D9E"/>
    <w:rsid w:val="00E62EF0"/>
    <w:rsid w:val="00E67075"/>
    <w:rsid w:val="00E70FA6"/>
    <w:rsid w:val="00E73528"/>
    <w:rsid w:val="00E758A6"/>
    <w:rsid w:val="00E849B4"/>
    <w:rsid w:val="00E92518"/>
    <w:rsid w:val="00E95FEC"/>
    <w:rsid w:val="00E971D5"/>
    <w:rsid w:val="00E97370"/>
    <w:rsid w:val="00EA0F48"/>
    <w:rsid w:val="00EA1BBF"/>
    <w:rsid w:val="00EA249D"/>
    <w:rsid w:val="00EA2908"/>
    <w:rsid w:val="00EA2F93"/>
    <w:rsid w:val="00EA3E94"/>
    <w:rsid w:val="00EA3F54"/>
    <w:rsid w:val="00EB0116"/>
    <w:rsid w:val="00EB18D7"/>
    <w:rsid w:val="00EB1B4F"/>
    <w:rsid w:val="00EC0405"/>
    <w:rsid w:val="00EC0449"/>
    <w:rsid w:val="00EC24C5"/>
    <w:rsid w:val="00EC46C6"/>
    <w:rsid w:val="00EC5F84"/>
    <w:rsid w:val="00ED0E3A"/>
    <w:rsid w:val="00ED128B"/>
    <w:rsid w:val="00ED67E4"/>
    <w:rsid w:val="00ED6847"/>
    <w:rsid w:val="00EE26F1"/>
    <w:rsid w:val="00EE2962"/>
    <w:rsid w:val="00EF051B"/>
    <w:rsid w:val="00EF1F44"/>
    <w:rsid w:val="00EF3B24"/>
    <w:rsid w:val="00F0794F"/>
    <w:rsid w:val="00F10E2F"/>
    <w:rsid w:val="00F15844"/>
    <w:rsid w:val="00F170E0"/>
    <w:rsid w:val="00F23C1B"/>
    <w:rsid w:val="00F31291"/>
    <w:rsid w:val="00F352E6"/>
    <w:rsid w:val="00F418E8"/>
    <w:rsid w:val="00F43667"/>
    <w:rsid w:val="00F45305"/>
    <w:rsid w:val="00F46645"/>
    <w:rsid w:val="00F530FC"/>
    <w:rsid w:val="00F57588"/>
    <w:rsid w:val="00F607AF"/>
    <w:rsid w:val="00F622C3"/>
    <w:rsid w:val="00F62E97"/>
    <w:rsid w:val="00F67315"/>
    <w:rsid w:val="00F8183A"/>
    <w:rsid w:val="00F865F6"/>
    <w:rsid w:val="00F867CB"/>
    <w:rsid w:val="00F915A6"/>
    <w:rsid w:val="00F91724"/>
    <w:rsid w:val="00F92AEE"/>
    <w:rsid w:val="00F93EA5"/>
    <w:rsid w:val="00F94DF9"/>
    <w:rsid w:val="00FA1258"/>
    <w:rsid w:val="00FB0F2A"/>
    <w:rsid w:val="00FC6BA8"/>
    <w:rsid w:val="00FD5096"/>
    <w:rsid w:val="00FD5A8D"/>
    <w:rsid w:val="00FE4B89"/>
    <w:rsid w:val="00FE7547"/>
    <w:rsid w:val="00FF1256"/>
    <w:rsid w:val="00FF252D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8C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uiPriority w:val="99"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uiPriority w:val="99"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uiPriority w:val="39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2610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61075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61075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610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61075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10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107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CDB0-0838-43A0-9CA1-7AD6B1C7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Ivana Sabljo</cp:lastModifiedBy>
  <cp:revision>160</cp:revision>
  <cp:lastPrinted>2025-07-30T21:29:00Z</cp:lastPrinted>
  <dcterms:created xsi:type="dcterms:W3CDTF">2025-07-30T16:25:00Z</dcterms:created>
  <dcterms:modified xsi:type="dcterms:W3CDTF">2025-10-29T10:02:00Z</dcterms:modified>
</cp:coreProperties>
</file>